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42211" w14:textId="77777777" w:rsidR="009D5D3B" w:rsidRDefault="00000000">
      <w:pPr>
        <w:rPr>
          <w:rFonts w:ascii="黑体" w:eastAsia="黑体" w:hAnsi="黑体" w:cs="Times New Roman" w:hint="eastAsia"/>
        </w:rPr>
      </w:pPr>
      <w:r>
        <w:rPr>
          <w:rFonts w:ascii="黑体" w:eastAsia="黑体" w:hAnsi="黑体" w:cs="Times New Roman"/>
          <w:noProof/>
        </w:rPr>
        <mc:AlternateContent>
          <mc:Choice Requires="wps">
            <w:drawing>
              <wp:anchor distT="0" distB="0" distL="114300" distR="114300" simplePos="0" relativeHeight="251659264" behindDoc="0" locked="0" layoutInCell="1" allowOverlap="1" wp14:anchorId="60EC3094" wp14:editId="6010859D">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6970" cy="792480"/>
                        </a:xfrm>
                        <a:prstGeom prst="rect">
                          <a:avLst/>
                        </a:prstGeom>
                        <a:noFill/>
                        <a:ln>
                          <a:noFill/>
                        </a:ln>
                      </wps:spPr>
                      <wps:txbx>
                        <w:txbxContent>
                          <w:p w14:paraId="4DE285E5" w14:textId="77777777" w:rsidR="009D5D3B" w:rsidRDefault="00000000">
                            <w:pPr>
                              <w:pStyle w:val="aff6"/>
                              <w:shd w:val="clear" w:color="auto" w:fill="auto"/>
                              <w:wordWrap w:val="0"/>
                              <w:ind w:right="471" w:firstLineChars="50" w:firstLine="624"/>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0" upright="1">
                        <a:spAutoFit/>
                      </wps:bodyPr>
                    </wps:wsp>
                  </a:graphicData>
                </a:graphic>
              </wp:anchor>
            </w:drawing>
          </mc:Choice>
          <mc:Fallback>
            <w:pict>
              <v:shapetype w14:anchorId="60EC3094" id="_x0000_t202" coordsize="21600,21600" o:spt="202" path="m,l,21600r21600,l21600,xe">
                <v:stroke joinstyle="miter"/>
                <v:path gradientshapeok="t" o:connecttype="rect"/>
              </v:shapetype>
              <v:shape id="Text Box 2" o:spid="_x0000_s1026" type="#_x0000_t202" style="position:absolute;left:0;text-align:left;margin-left:225.15pt;margin-top:36.65pt;width:291.1pt;height:62.4pt;z-index:251659264;visibility:visible;mso-wrap-style:square;mso-wrap-distance-left:9pt;mso-wrap-distance-top:0;mso-wrap-distance-right:9pt;mso-wrap-distance-bottom:0;mso-position-horizontal:absolute;mso-position-horizontal-relative:text;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" filled="f" stroked="f">
                <v:textbox style="mso-fit-shape-to-text:t">
                  <w:txbxContent>
                    <w:p w14:paraId="4DE285E5" w14:textId="77777777" w:rsidR="009D5D3B" w:rsidRDefault="00000000">
                      <w:pPr>
                        <w:pStyle w:val="aff6"/>
                        <w:shd w:val="clear" w:color="auto" w:fill="auto"/>
                        <w:wordWrap w:val="0"/>
                        <w:ind w:right="471" w:firstLineChars="50" w:firstLine="624"/>
                        <w:jc w:val="both"/>
                        <w:rPr>
                          <w:rFonts w:eastAsia="方正小标宋_GBK"/>
                          <w:sz w:val="84"/>
                          <w:szCs w:val="84"/>
                        </w:rPr>
                      </w:pPr>
                      <w:r>
                        <w:rPr>
                          <w:rFonts w:eastAsia="方正小标宋_GBK"/>
                          <w:szCs w:val="84"/>
                        </w:rPr>
                        <w:t>DB3205</w:t>
                      </w:r>
                    </w:p>
                  </w:txbxContent>
                </v:textbox>
                <w10:wrap anchory="margin"/>
              </v:shape>
            </w:pict>
          </mc:Fallback>
        </mc:AlternateContent>
      </w:r>
      <w:r>
        <w:rPr>
          <w:rFonts w:ascii="黑体" w:eastAsia="黑体" w:hAnsi="黑体" w:cs="Times New Roman"/>
        </w:rPr>
        <w:t xml:space="preserve">ICS </w:t>
      </w:r>
      <w:r>
        <w:rPr>
          <w:rFonts w:ascii="黑体" w:eastAsia="黑体" w:hAnsi="黑体" w:cs="Times New Roman" w:hint="eastAsia"/>
        </w:rPr>
        <w:t>03</w:t>
      </w:r>
      <w:r>
        <w:rPr>
          <w:rFonts w:ascii="黑体" w:eastAsia="黑体" w:hAnsi="黑体" w:cs="Times New Roman"/>
        </w:rPr>
        <w:t>.</w:t>
      </w:r>
      <w:r>
        <w:rPr>
          <w:rFonts w:ascii="黑体" w:eastAsia="黑体" w:hAnsi="黑体" w:cs="Times New Roman" w:hint="eastAsia"/>
        </w:rPr>
        <w:t>140</w:t>
      </w:r>
    </w:p>
    <w:p w14:paraId="060BD3F3" w14:textId="77777777" w:rsidR="009D5D3B" w:rsidRDefault="00000000">
      <w:pPr>
        <w:rPr>
          <w:rFonts w:ascii="黑体" w:eastAsia="黑体" w:hAnsi="黑体" w:cs="Times New Roman" w:hint="eastAsia"/>
        </w:rPr>
      </w:pPr>
      <w:r>
        <w:rPr>
          <w:rFonts w:ascii="黑体" w:eastAsia="黑体" w:hAnsi="黑体" w:cs="Times New Roman"/>
        </w:rPr>
        <w:t xml:space="preserve">CCS </w:t>
      </w:r>
      <w:r>
        <w:rPr>
          <w:rFonts w:ascii="黑体" w:eastAsia="黑体" w:hAnsi="黑体" w:cs="Times New Roman" w:hint="eastAsia"/>
        </w:rPr>
        <w:t>A</w:t>
      </w:r>
      <w:r>
        <w:rPr>
          <w:rFonts w:ascii="黑体" w:eastAsia="黑体" w:hAnsi="黑体" w:cs="Times New Roman"/>
        </w:rPr>
        <w:t xml:space="preserve"> </w:t>
      </w:r>
      <w:r>
        <w:rPr>
          <w:rFonts w:ascii="黑体" w:eastAsia="黑体" w:hAnsi="黑体" w:cs="Times New Roman" w:hint="eastAsia"/>
        </w:rPr>
        <w:t>01</w:t>
      </w:r>
    </w:p>
    <w:p w14:paraId="0ECEC8BA" w14:textId="77777777" w:rsidR="009D5D3B" w:rsidRDefault="009D5D3B">
      <w:pPr>
        <w:rPr>
          <w:rFonts w:ascii="黑体" w:eastAsia="黑体" w:hAnsi="黑体" w:hint="eastAsia"/>
        </w:rPr>
      </w:pPr>
    </w:p>
    <w:p w14:paraId="2DF74AEF" w14:textId="77777777" w:rsidR="009D5D3B" w:rsidRDefault="00000000">
      <w:pPr>
        <w:autoSpaceDE w:val="0"/>
        <w:autoSpaceDN w:val="0"/>
        <w:adjustRightInd w:val="0"/>
        <w:jc w:val="distribute"/>
        <w:rPr>
          <w:rFonts w:ascii="方正小标宋_GBK" w:eastAsia="方正小标宋_GBK" w:cs="Dotum,Bold"/>
          <w:bCs/>
          <w:snapToGrid w:val="0"/>
          <w:kern w:val="0"/>
          <w:sz w:val="52"/>
          <w:szCs w:val="52"/>
        </w:rPr>
      </w:pPr>
      <w:r>
        <w:rPr>
          <w:rFonts w:ascii="黑体" w:eastAsia="黑体" w:hAnsi="黑体"/>
          <w:noProof/>
        </w:rPr>
        <mc:AlternateContent>
          <mc:Choice Requires="wps">
            <w:drawing>
              <wp:anchor distT="0" distB="0" distL="114300" distR="114300" simplePos="0" relativeHeight="251662336" behindDoc="0" locked="0" layoutInCell="1" allowOverlap="1" wp14:anchorId="74E2CECB" wp14:editId="3C243E2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15950"/>
                        </a:xfrm>
                        <a:prstGeom prst="rect">
                          <a:avLst/>
                        </a:prstGeom>
                        <a:noFill/>
                        <a:ln w="0">
                          <a:noFill/>
                          <a:miter lim="800000"/>
                        </a:ln>
                      </wps:spPr>
                      <wps:txbx>
                        <w:txbxContent>
                          <w:p w14:paraId="1CEB2A8F" w14:textId="77777777" w:rsidR="009D5D3B" w:rsidRDefault="00000000">
                            <w:pPr>
                              <w:jc w:val="distribute"/>
                            </w:pPr>
                            <w:r>
                              <w:rPr>
                                <w:rFonts w:ascii="方正小标宋_GBK" w:eastAsia="方正小标宋_GBK" w:hAnsi="宋体" w:cs="SimSun,Bold" w:hint="eastAsia"/>
                                <w:bCs/>
                                <w:snapToGrid w:val="0"/>
                                <w:kern w:val="0"/>
                                <w:sz w:val="52"/>
                                <w:szCs w:val="52"/>
                              </w:rPr>
                              <w:t>苏州市地方标准</w:t>
                            </w:r>
                          </w:p>
                        </w:txbxContent>
                      </wps:txbx>
                      <wps:bodyPr rot="0" vert="horz" wrap="square" lIns="91440" tIns="45720" rIns="91440" bIns="45720" anchor="t" anchorCtr="0" upright="1">
                        <a:noAutofit/>
                      </wps:bodyPr>
                    </wps:wsp>
                  </a:graphicData>
                </a:graphic>
              </wp:anchor>
            </w:drawing>
          </mc:Choice>
          <mc:Fallback>
            <w:pict>
              <v:shape w14:anchorId="74E2CECB" id="Text Box 18" o:spid="_x0000_s1027" type="#_x0000_t202" style="position:absolute;left:0;text-align:left;margin-left:6.35pt;margin-top:93pt;width:481.9pt;height:48.5pt;z-index:251662336;visibility:visible;mso-wrap-style:square;mso-wrap-distance-left:9pt;mso-wrap-distance-top:0;mso-wrap-distance-right:9pt;mso-wrap-distance-bottom:0;mso-position-horizontal:absolute;mso-position-horizontal-relative:text;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" filled="f" stroked="f" strokeweight="0">
                <v:textbox>
                  <w:txbxContent>
                    <w:p w14:paraId="1CEB2A8F" w14:textId="77777777" w:rsidR="009D5D3B" w:rsidRDefault="00000000">
                      <w:pPr>
                        <w:jc w:val="distribute"/>
                      </w:pPr>
                      <w:r>
                        <w:rPr>
                          <w:rFonts w:ascii="方正小标宋_GBK" w:eastAsia="方正小标宋_GBK" w:hAnsi="宋体" w:cs="SimSun,Bold" w:hint="eastAsia"/>
                          <w:bCs/>
                          <w:snapToGrid w:val="0"/>
                          <w:kern w:val="0"/>
                          <w:sz w:val="52"/>
                          <w:szCs w:val="52"/>
                        </w:rPr>
                        <w:t>苏州市地方标准</w:t>
                      </w:r>
                    </w:p>
                  </w:txbxContent>
                </v:textbox>
                <w10:wrap anchory="margin"/>
              </v:shape>
            </w:pict>
          </mc:Fallback>
        </mc:AlternateContent>
      </w:r>
    </w:p>
    <w:p w14:paraId="0302719E" w14:textId="77777777" w:rsidR="009D5D3B" w:rsidRDefault="00000000">
      <w:pPr>
        <w:spacing w:line="510" w:lineRule="exact"/>
        <w:rPr>
          <w:rFonts w:ascii="黑体" w:eastAsia="黑体" w:hAnsi="黑体" w:hint="eastAsia"/>
          <w:kern w:val="0"/>
          <w:sz w:val="28"/>
          <w:szCs w:val="28"/>
        </w:rPr>
      </w:pPr>
      <w:r>
        <w:rPr>
          <w:rFonts w:ascii="黑体" w:eastAsia="黑体" w:hAnsi="黑体" w:hint="eastAsia"/>
        </w:rPr>
        <w:t xml:space="preserve">                                                                   </w:t>
      </w:r>
      <w:r>
        <w:rPr>
          <w:rFonts w:ascii="黑体" w:eastAsia="黑体" w:hAnsi="黑体" w:hint="eastAsia"/>
          <w:kern w:val="0"/>
          <w:sz w:val="28"/>
          <w:szCs w:val="28"/>
        </w:rPr>
        <w:t xml:space="preserve">  </w:t>
      </w:r>
    </w:p>
    <w:p w14:paraId="0FCD761F" w14:textId="77777777" w:rsidR="009D5D3B" w:rsidRDefault="00000000">
      <w:pPr>
        <w:autoSpaceDE w:val="0"/>
        <w:autoSpaceDN w:val="0"/>
        <w:adjustRightInd w:val="0"/>
        <w:spacing w:line="3686" w:lineRule="exact"/>
        <w:jc w:val="center"/>
        <w:rPr>
          <w:rFonts w:ascii="黑体" w:eastAsia="黑体" w:hAnsi="黑体" w:hint="eastAsia"/>
        </w:rPr>
      </w:pPr>
      <w:r>
        <w:rPr>
          <w:rFonts w:ascii="黑体" w:eastAsia="黑体" w:hAnsi="黑体"/>
          <w:noProof/>
        </w:rPr>
        <mc:AlternateContent>
          <mc:Choice Requires="wps">
            <w:drawing>
              <wp:anchor distT="0" distB="0" distL="114300" distR="114300" simplePos="0" relativeHeight="251663360" behindDoc="0" locked="0" layoutInCell="1" allowOverlap="1" wp14:anchorId="55703F8B" wp14:editId="4E42A33E">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344" cy="304800"/>
                        </a:xfrm>
                        <a:prstGeom prst="rect">
                          <a:avLst/>
                        </a:prstGeom>
                        <a:noFill/>
                        <a:ln w="0">
                          <a:noFill/>
                          <a:miter lim="800000"/>
                        </a:ln>
                      </wps:spPr>
                      <wps:txbx>
                        <w:txbxContent>
                          <w:p w14:paraId="3265035F" w14:textId="77777777" w:rsidR="009D5D3B" w:rsidRDefault="00000000">
                            <w:pPr>
                              <w:spacing w:line="400" w:lineRule="exact"/>
                              <w:jc w:val="left"/>
                              <w:rPr>
                                <w:rFonts w:ascii="黑体" w:eastAsia="黑体" w:hAnsi="黑体" w:hint="eastAsia"/>
                                <w:kern w:val="0"/>
                                <w:sz w:val="28"/>
                                <w:szCs w:val="28"/>
                              </w:rPr>
                            </w:pPr>
                            <w:r>
                              <w:rPr>
                                <w:rFonts w:ascii="黑体" w:eastAsia="黑体" w:hAnsi="黑体"/>
                                <w:kern w:val="0"/>
                                <w:sz w:val="28"/>
                                <w:szCs w:val="28"/>
                              </w:rPr>
                              <w:t>DB3205/T XXX</w:t>
                            </w:r>
                            <w:r>
                              <w:rPr>
                                <w:rFonts w:ascii="黑体" w:eastAsia="黑体" w:hAnsi="黑体" w:hint="eastAsia"/>
                                <w:kern w:val="0"/>
                                <w:sz w:val="28"/>
                                <w:szCs w:val="28"/>
                              </w:rPr>
                              <w:t>—</w:t>
                            </w:r>
                            <w:r>
                              <w:rPr>
                                <w:rFonts w:ascii="黑体" w:eastAsia="黑体" w:hAnsi="黑体"/>
                                <w:kern w:val="0"/>
                                <w:sz w:val="28"/>
                                <w:szCs w:val="28"/>
                              </w:rPr>
                              <w:t>XXXX</w:t>
                            </w:r>
                          </w:p>
                        </w:txbxContent>
                      </wps:txbx>
                      <wps:bodyPr rot="0" vert="horz" wrap="square" lIns="91440" tIns="45720" rIns="91440" bIns="45720" anchor="t" anchorCtr="0" upright="1">
                        <a:noAutofit/>
                      </wps:bodyPr>
                    </wps:wsp>
                  </a:graphicData>
                </a:graphic>
              </wp:anchor>
            </w:drawing>
          </mc:Choice>
          <mc:Fallback>
            <w:pict>
              <v:shape w14:anchorId="55703F8B" id="Text Box 19" o:spid="_x0000_s1028" type="#_x0000_t202" style="position:absolute;left:0;text-align:left;margin-left:-134.85pt;margin-top:176.25pt;width:151.75pt;height:24pt;z-index:251663360;visibility:visible;mso-wrap-style:square;mso-wrap-distance-left:9pt;mso-wrap-distance-top:0;mso-wrap-distance-right:9pt;mso-wrap-distance-bottom:0;mso-position-horizontal:absolute;mso-position-horizontal-relative:right-margin-area;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" filled="f" stroked="f" strokeweight="0">
                <v:textbox>
                  <w:txbxContent>
                    <w:p w14:paraId="3265035F" w14:textId="77777777" w:rsidR="009D5D3B" w:rsidRDefault="00000000">
                      <w:pPr>
                        <w:spacing w:line="400" w:lineRule="exact"/>
                        <w:jc w:val="left"/>
                        <w:rPr>
                          <w:rFonts w:ascii="黑体" w:eastAsia="黑体" w:hAnsi="黑体" w:hint="eastAsia"/>
                          <w:kern w:val="0"/>
                          <w:sz w:val="28"/>
                          <w:szCs w:val="28"/>
                        </w:rPr>
                      </w:pPr>
                      <w:r>
                        <w:rPr>
                          <w:rFonts w:ascii="黑体" w:eastAsia="黑体" w:hAnsi="黑体"/>
                          <w:kern w:val="0"/>
                          <w:sz w:val="28"/>
                          <w:szCs w:val="28"/>
                        </w:rPr>
                        <w:t>DB3205/T XXX</w:t>
                      </w:r>
                      <w:r>
                        <w:rPr>
                          <w:rFonts w:ascii="黑体" w:eastAsia="黑体" w:hAnsi="黑体" w:hint="eastAsia"/>
                          <w:kern w:val="0"/>
                          <w:sz w:val="28"/>
                          <w:szCs w:val="28"/>
                        </w:rPr>
                        <w:t>—</w:t>
                      </w:r>
                      <w:r>
                        <w:rPr>
                          <w:rFonts w:ascii="黑体" w:eastAsia="黑体" w:hAnsi="黑体"/>
                          <w:kern w:val="0"/>
                          <w:sz w:val="28"/>
                          <w:szCs w:val="28"/>
                        </w:rPr>
                        <w:t>XXXX</w:t>
                      </w:r>
                    </w:p>
                  </w:txbxContent>
                </v:textbox>
                <w10:wrap anchorx="margin" anchory="margin"/>
              </v:shape>
            </w:pict>
          </mc:Fallback>
        </mc:AlternateContent>
      </w:r>
      <w:r>
        <w:rPr>
          <w:rFonts w:ascii="黑体" w:eastAsia="黑体" w:hAnsi="黑体"/>
          <w:noProof/>
        </w:rPr>
        <mc:AlternateContent>
          <mc:Choice Requires="wps">
            <w:drawing>
              <wp:anchor distT="0" distB="0" distL="114300" distR="114300" simplePos="0" relativeHeight="251660288" behindDoc="0" locked="0" layoutInCell="1" allowOverlap="1" wp14:anchorId="6D7D6301" wp14:editId="7E4C0343">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type w14:anchorId="62A7BB85" id="_x0000_t32" coordsize="21600,21600" o:spt="32" o:oned="t" path="m,l21600,21600e" filled="f">
                <v:path arrowok="t" fillok="f" o:connecttype="none"/>
                <o:lock v:ext="edit" shapetype="t"/>
              </v:shapetype>
              <v:shape id="AutoShape 13" o:spid="_x0000_s1026" type="#_x0000_t32" style="position:absolute;margin-left:0;margin-top:213.3pt;width:481.5pt;height:0;z-index:251660288;visibility:visible;mso-wrap-style:square;mso-wrap-distance-left:9pt;mso-wrap-distance-top:0;mso-wrap-distance-right:9pt;mso-wrap-distance-bottom:0;mso-position-horizontal:absolute;mso-position-horizontal-relative:text;mso-position-vertical:absolute;mso-position-vertical-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" strokeweight="1pt">
                <w10:wrap anchory="margin"/>
              </v:shape>
            </w:pict>
          </mc:Fallback>
        </mc:AlternateContent>
      </w:r>
      <w:r>
        <w:rPr>
          <w:rFonts w:ascii="黑体" w:eastAsia="黑体" w:hAnsi="黑体"/>
          <w:noProof/>
        </w:rPr>
        <mc:AlternateContent>
          <mc:Choice Requires="wps">
            <w:drawing>
              <wp:anchor distT="0" distB="0" distL="114300" distR="114300" simplePos="0" relativeHeight="251661312" behindDoc="0" locked="0" layoutInCell="1" allowOverlap="1" wp14:anchorId="452622BE" wp14:editId="630FA12C">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3248025"/>
                        </a:xfrm>
                        <a:prstGeom prst="rect">
                          <a:avLst/>
                        </a:prstGeom>
                        <a:noFill/>
                        <a:ln w="0">
                          <a:noFill/>
                          <a:miter lim="800000"/>
                        </a:ln>
                      </wps:spPr>
                      <wps:txbx>
                        <w:txbxContent>
                          <w:p w14:paraId="58B07EE7" w14:textId="77777777" w:rsidR="009D5D3B" w:rsidRDefault="00000000">
                            <w:pPr>
                              <w:jc w:val="center"/>
                              <w:rPr>
                                <w:rFonts w:ascii="黑体" w:eastAsia="黑体" w:hAnsi="宋体" w:hint="eastAsia"/>
                                <w:sz w:val="52"/>
                                <w:szCs w:val="52"/>
                              </w:rPr>
                            </w:pPr>
                            <w:r>
                              <w:rPr>
                                <w:rFonts w:ascii="黑体" w:eastAsia="黑体" w:hAnsi="宋体" w:hint="eastAsia"/>
                                <w:sz w:val="52"/>
                                <w:szCs w:val="52"/>
                              </w:rPr>
                              <w:t>企业科创板上市知识产权信息披露指南</w:t>
                            </w:r>
                          </w:p>
                          <w:p w14:paraId="06015271" w14:textId="77777777" w:rsidR="009D5D3B" w:rsidRDefault="00000000">
                            <w:pPr>
                              <w:jc w:val="center"/>
                              <w:rPr>
                                <w:rStyle w:val="high-light-bg4"/>
                                <w:rFonts w:ascii="黑体" w:eastAsia="黑体" w:hAnsi="黑体" w:hint="eastAsia"/>
                                <w:kern w:val="0"/>
                                <w:sz w:val="28"/>
                                <w:szCs w:val="21"/>
                              </w:rPr>
                            </w:pPr>
                            <w:r>
                              <w:rPr>
                                <w:rFonts w:ascii="黑体" w:eastAsia="黑体" w:hAnsi="黑体" w:hint="eastAsia"/>
                                <w:kern w:val="0"/>
                                <w:sz w:val="28"/>
                                <w:szCs w:val="21"/>
                              </w:rPr>
                              <w:t>Guidelines for the Disclosure of Intellectual Property Information for Enterprises Listed on the Science and Technology Innovation Board</w:t>
                            </w:r>
                          </w:p>
                          <w:p w14:paraId="7BC46973" w14:textId="77777777" w:rsidR="009D5D3B" w:rsidRDefault="00000000">
                            <w:pPr>
                              <w:jc w:val="center"/>
                              <w:rPr>
                                <w:rFonts w:asciiTheme="minorEastAsia" w:hAnsiTheme="minorEastAsia" w:hint="eastAsia"/>
                                <w:sz w:val="24"/>
                              </w:rPr>
                            </w:pPr>
                            <w:r>
                              <w:rPr>
                                <w:rFonts w:asciiTheme="minorEastAsia" w:hAnsiTheme="minorEastAsia" w:hint="eastAsia"/>
                                <w:sz w:val="24"/>
                              </w:rPr>
                              <w:t>（报批稿）</w:t>
                            </w:r>
                          </w:p>
                        </w:txbxContent>
                      </wps:txbx>
                      <wps:bodyPr rot="0" vert="horz" wrap="square" lIns="91440" tIns="45720" rIns="91440" bIns="45720" anchor="t" anchorCtr="0" upright="1">
                        <a:noAutofit/>
                      </wps:bodyPr>
                    </wps:wsp>
                  </a:graphicData>
                </a:graphic>
              </wp:anchor>
            </w:drawing>
          </mc:Choice>
          <mc:Fallback>
            <w:pict>
              <v:shape w14:anchorId="452622BE" id="Text Box 17" o:spid="_x0000_s1029" type="#_x0000_t202" style="position:absolute;left:0;text-align:left;margin-left:6.35pt;margin-top:326.05pt;width:466.5pt;height:255.75pt;z-index:251661312;visibility:visible;mso-wrap-style:square;mso-wrap-distance-left:9pt;mso-wrap-distance-top:0;mso-wrap-distance-right:9pt;mso-wrap-distance-bottom:0;mso-position-horizontal:absolute;mso-position-horizontal-relative:text;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" filled="f" stroked="f" strokeweight="0">
                <v:textbox>
                  <w:txbxContent>
                    <w:p w14:paraId="58B07EE7" w14:textId="77777777" w:rsidR="009D5D3B" w:rsidRDefault="00000000">
                      <w:pPr>
                        <w:jc w:val="center"/>
                        <w:rPr>
                          <w:rFonts w:ascii="黑体" w:eastAsia="黑体" w:hAnsi="宋体" w:hint="eastAsia"/>
                          <w:sz w:val="52"/>
                          <w:szCs w:val="52"/>
                        </w:rPr>
                      </w:pPr>
                      <w:r>
                        <w:rPr>
                          <w:rFonts w:ascii="黑体" w:eastAsia="黑体" w:hAnsi="宋体" w:hint="eastAsia"/>
                          <w:sz w:val="52"/>
                          <w:szCs w:val="52"/>
                        </w:rPr>
                        <w:t>企业科创板上市知识产权信息披露指南</w:t>
                      </w:r>
                    </w:p>
                    <w:p w14:paraId="06015271" w14:textId="77777777" w:rsidR="009D5D3B" w:rsidRDefault="00000000">
                      <w:pPr>
                        <w:jc w:val="center"/>
                        <w:rPr>
                          <w:rStyle w:val="high-light-bg4"/>
                          <w:rFonts w:ascii="黑体" w:eastAsia="黑体" w:hAnsi="黑体" w:hint="eastAsia"/>
                          <w:kern w:val="0"/>
                          <w:sz w:val="28"/>
                          <w:szCs w:val="21"/>
                        </w:rPr>
                      </w:pPr>
                      <w:r>
                        <w:rPr>
                          <w:rFonts w:ascii="黑体" w:eastAsia="黑体" w:hAnsi="黑体" w:hint="eastAsia"/>
                          <w:kern w:val="0"/>
                          <w:sz w:val="28"/>
                          <w:szCs w:val="21"/>
                        </w:rPr>
                        <w:t>Guidelines for the Disclosure of Intellectual Property Information for Enterprises Listed on the Science and Technology Innovation Board</w:t>
                      </w:r>
                    </w:p>
                    <w:p w14:paraId="7BC46973" w14:textId="77777777" w:rsidR="009D5D3B" w:rsidRDefault="00000000">
                      <w:pPr>
                        <w:jc w:val="center"/>
                        <w:rPr>
                          <w:rFonts w:asciiTheme="minorEastAsia" w:hAnsiTheme="minorEastAsia" w:hint="eastAsia"/>
                          <w:sz w:val="24"/>
                        </w:rPr>
                      </w:pPr>
                      <w:r>
                        <w:rPr>
                          <w:rFonts w:asciiTheme="minorEastAsia" w:hAnsiTheme="minorEastAsia" w:hint="eastAsia"/>
                          <w:sz w:val="24"/>
                        </w:rPr>
                        <w:t>（报批稿）</w:t>
                      </w:r>
                    </w:p>
                  </w:txbxContent>
                </v:textbox>
                <w10:wrap anchory="margin"/>
              </v:shape>
            </w:pict>
          </mc:Fallback>
        </mc:AlternateContent>
      </w:r>
    </w:p>
    <w:p w14:paraId="58392DD2" w14:textId="77777777" w:rsidR="009D5D3B" w:rsidRDefault="009D5D3B">
      <w:pPr>
        <w:rPr>
          <w:rFonts w:ascii="黑体" w:eastAsia="黑体" w:hAnsi="黑体" w:hint="eastAsia"/>
        </w:rPr>
      </w:pPr>
    </w:p>
    <w:p w14:paraId="249FC8BA" w14:textId="77777777" w:rsidR="009D5D3B" w:rsidRDefault="009D5D3B">
      <w:pPr>
        <w:rPr>
          <w:rFonts w:ascii="黑体" w:eastAsia="黑体" w:hAnsi="黑体" w:hint="eastAsia"/>
        </w:rPr>
      </w:pPr>
    </w:p>
    <w:p w14:paraId="20E44F94" w14:textId="77777777" w:rsidR="009D5D3B" w:rsidRDefault="009D5D3B">
      <w:pPr>
        <w:rPr>
          <w:rFonts w:ascii="黑体" w:eastAsia="黑体" w:hAnsi="黑体" w:hint="eastAsia"/>
        </w:rPr>
      </w:pPr>
    </w:p>
    <w:p w14:paraId="71CDA998" w14:textId="77777777" w:rsidR="009D5D3B" w:rsidRDefault="009D5D3B">
      <w:pPr>
        <w:rPr>
          <w:rFonts w:ascii="黑体" w:eastAsia="黑体" w:hAnsi="黑体" w:hint="eastAsia"/>
        </w:rPr>
      </w:pPr>
    </w:p>
    <w:p w14:paraId="79F01B56" w14:textId="77777777" w:rsidR="009D5D3B" w:rsidRDefault="009D5D3B">
      <w:pPr>
        <w:rPr>
          <w:rFonts w:ascii="黑体" w:eastAsia="黑体" w:hAnsi="黑体" w:hint="eastAsia"/>
        </w:rPr>
      </w:pPr>
    </w:p>
    <w:p w14:paraId="0B559A79" w14:textId="77777777" w:rsidR="009D5D3B" w:rsidRDefault="00000000">
      <w:pPr>
        <w:rPr>
          <w:rFonts w:ascii="黑体" w:eastAsia="黑体" w:hAnsi="黑体" w:hint="eastAsia"/>
        </w:rPr>
      </w:pPr>
      <w:r>
        <w:rPr>
          <w:rFonts w:ascii="黑体" w:eastAsia="黑体" w:hAnsi="黑体" w:hint="eastAsia"/>
        </w:rPr>
        <w:t xml:space="preserve">                                                                                          </w:t>
      </w:r>
    </w:p>
    <w:p w14:paraId="6E13BA8B" w14:textId="77777777" w:rsidR="009D5D3B" w:rsidRDefault="009D5D3B">
      <w:pPr>
        <w:pStyle w:val="ae"/>
      </w:pPr>
    </w:p>
    <w:p w14:paraId="05E8553E" w14:textId="77777777" w:rsidR="009D5D3B" w:rsidRDefault="009D5D3B">
      <w:pPr>
        <w:pStyle w:val="ae"/>
      </w:pPr>
    </w:p>
    <w:p w14:paraId="3D1AF0FC" w14:textId="77777777" w:rsidR="009D5D3B" w:rsidRDefault="009D5D3B">
      <w:pPr>
        <w:pStyle w:val="ae"/>
      </w:pPr>
    </w:p>
    <w:p w14:paraId="4D9BB5A2" w14:textId="77777777" w:rsidR="009D5D3B" w:rsidRDefault="009D5D3B">
      <w:pPr>
        <w:rPr>
          <w:rFonts w:ascii="黑体" w:eastAsia="黑体" w:hAnsi="黑体" w:hint="eastAsia"/>
        </w:rPr>
      </w:pPr>
    </w:p>
    <w:p w14:paraId="6993E9A1" w14:textId="77777777" w:rsidR="009D5D3B" w:rsidRDefault="009D5D3B">
      <w:pPr>
        <w:rPr>
          <w:rFonts w:ascii="黑体" w:eastAsia="黑体" w:hAnsi="黑体" w:hint="eastAsia"/>
        </w:rPr>
      </w:pPr>
    </w:p>
    <w:p w14:paraId="6A76C743" w14:textId="77777777" w:rsidR="009D5D3B" w:rsidRDefault="009D5D3B">
      <w:pPr>
        <w:rPr>
          <w:rFonts w:ascii="黑体" w:eastAsia="黑体" w:hAnsi="黑体" w:hint="eastAsia"/>
        </w:rPr>
      </w:pPr>
    </w:p>
    <w:p w14:paraId="69C74641" w14:textId="77777777" w:rsidR="009D5D3B" w:rsidRDefault="009D5D3B">
      <w:pPr>
        <w:rPr>
          <w:rFonts w:ascii="黑体" w:eastAsia="黑体" w:hAnsi="黑体" w:hint="eastAsia"/>
        </w:rPr>
      </w:pPr>
    </w:p>
    <w:p w14:paraId="1CDF218E" w14:textId="77777777" w:rsidR="009D5D3B" w:rsidRDefault="009D5D3B">
      <w:pPr>
        <w:rPr>
          <w:rFonts w:ascii="黑体" w:eastAsia="黑体" w:hAnsi="黑体" w:hint="eastAsia"/>
        </w:rPr>
      </w:pPr>
    </w:p>
    <w:p w14:paraId="3716F451" w14:textId="77777777" w:rsidR="009D5D3B" w:rsidRDefault="009D5D3B">
      <w:pPr>
        <w:rPr>
          <w:rFonts w:ascii="黑体" w:eastAsia="黑体" w:hAnsi="黑体" w:hint="eastAsia"/>
        </w:rPr>
      </w:pPr>
    </w:p>
    <w:p w14:paraId="06A795F4" w14:textId="77777777" w:rsidR="009D5D3B" w:rsidRDefault="009D5D3B">
      <w:pPr>
        <w:rPr>
          <w:rFonts w:ascii="黑体" w:eastAsia="黑体" w:hAnsi="黑体" w:hint="eastAsia"/>
        </w:rPr>
      </w:pPr>
    </w:p>
    <w:p w14:paraId="663072E7" w14:textId="77777777" w:rsidR="009D5D3B" w:rsidRDefault="009D5D3B">
      <w:pPr>
        <w:rPr>
          <w:rFonts w:ascii="黑体" w:eastAsia="黑体" w:hAnsi="黑体" w:hint="eastAsia"/>
        </w:rPr>
      </w:pPr>
    </w:p>
    <w:p w14:paraId="6BB4E9C6" w14:textId="77777777" w:rsidR="009D5D3B" w:rsidRDefault="009D5D3B">
      <w:pPr>
        <w:rPr>
          <w:rFonts w:ascii="黑体" w:eastAsia="黑体" w:hAnsi="黑体" w:hint="eastAsia"/>
        </w:rPr>
      </w:pPr>
    </w:p>
    <w:p w14:paraId="16793350" w14:textId="77777777" w:rsidR="009D5D3B" w:rsidRDefault="009D5D3B">
      <w:pPr>
        <w:rPr>
          <w:rFonts w:ascii="黑体" w:eastAsia="黑体" w:hAnsi="黑体" w:hint="eastAsia"/>
        </w:rPr>
      </w:pPr>
    </w:p>
    <w:p w14:paraId="42B24A92" w14:textId="77777777" w:rsidR="009D5D3B" w:rsidRDefault="009D5D3B">
      <w:pPr>
        <w:rPr>
          <w:rFonts w:ascii="黑体" w:eastAsia="黑体" w:hAnsi="黑体" w:hint="eastAsia"/>
        </w:rPr>
      </w:pPr>
    </w:p>
    <w:p w14:paraId="4CE399F5" w14:textId="77777777" w:rsidR="009D5D3B" w:rsidRDefault="009D5D3B">
      <w:pPr>
        <w:rPr>
          <w:rFonts w:ascii="黑体" w:eastAsia="黑体" w:hAnsi="黑体" w:hint="eastAsia"/>
        </w:rPr>
      </w:pPr>
    </w:p>
    <w:p w14:paraId="52961A74" w14:textId="77777777" w:rsidR="009D5D3B" w:rsidRDefault="009D5D3B">
      <w:pPr>
        <w:rPr>
          <w:rFonts w:ascii="黑体" w:eastAsia="黑体" w:hAnsi="黑体" w:hint="eastAsia"/>
        </w:rPr>
      </w:pPr>
    </w:p>
    <w:p w14:paraId="6381B4CC" w14:textId="77777777" w:rsidR="009D5D3B" w:rsidRDefault="009D5D3B">
      <w:pPr>
        <w:rPr>
          <w:rFonts w:ascii="黑体" w:eastAsia="黑体" w:hAnsi="黑体" w:hint="eastAsia"/>
        </w:rPr>
      </w:pPr>
    </w:p>
    <w:p w14:paraId="0201DC17" w14:textId="77777777" w:rsidR="009D5D3B" w:rsidRDefault="00000000">
      <w:pPr>
        <w:rPr>
          <w:rFonts w:ascii="黑体" w:eastAsia="黑体" w:hAnsi="黑体" w:hint="eastAsia"/>
          <w:sz w:val="28"/>
          <w:szCs w:val="28"/>
        </w:rPr>
      </w:pPr>
      <w:r>
        <w:rPr>
          <w:rFonts w:ascii="黑体" w:eastAsia="黑体" w:hAnsi="黑体"/>
          <w:noProof/>
          <w:sz w:val="28"/>
          <w:szCs w:val="28"/>
        </w:rPr>
        <mc:AlternateContent>
          <mc:Choice Requires="wps">
            <w:drawing>
              <wp:anchor distT="0" distB="0" distL="114300" distR="114300" simplePos="0" relativeHeight="251664384" behindDoc="0" locked="0" layoutInCell="1" allowOverlap="1" wp14:anchorId="69A70021" wp14:editId="46BCE873">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w14:anchorId="58F4A736" id="AutoShape 13" o:spid="_x0000_s1026" type="#_x0000_t32" style="position:absolute;margin-left:-1.15pt;margin-top:719.15pt;width:481.5pt;height:0;z-index:251664384;visibility:visible;mso-wrap-style:square;mso-wrap-distance-left:9pt;mso-wrap-distance-top:0;mso-wrap-distance-right:9pt;mso-wrap-distance-bottom:0;mso-position-horizontal:absolute;mso-position-horizontal-relative:margin;mso-position-vertical:absolute;mso-position-vertical-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" strokeweight="1pt">
                <w10:wrap anchorx="margin" anchory="margin"/>
              </v:shape>
            </w:pict>
          </mc:Fallback>
        </mc:AlternateContent>
      </w:r>
      <w:r>
        <w:rPr>
          <w:rFonts w:ascii="黑体" w:eastAsia="黑体" w:hAnsi="黑体" w:hint="eastAsia"/>
          <w:sz w:val="28"/>
          <w:szCs w:val="28"/>
        </w:rPr>
        <w:t>2024-XX-XX发布                                       2024-XX-XX实施</w:t>
      </w:r>
    </w:p>
    <w:p w14:paraId="1C651A00" w14:textId="77777777" w:rsidR="009D5D3B" w:rsidRDefault="00000000">
      <w:pPr>
        <w:spacing w:line="1247" w:lineRule="exact"/>
        <w:jc w:val="center"/>
        <w:rPr>
          <w:rFonts w:ascii="黑体" w:eastAsia="黑体" w:hAnsi="黑体" w:hint="eastAsia"/>
          <w:sz w:val="28"/>
          <w:szCs w:val="28"/>
        </w:rPr>
      </w:pPr>
      <w:bookmarkStart w:id="0" w:name="_Toc3547"/>
      <w:bookmarkStart w:id="1" w:name="_Toc18385"/>
      <w:r>
        <w:rPr>
          <w:rFonts w:ascii="方正小标宋_GBK" w:eastAsia="方正小标宋_GBK" w:hint="eastAsia"/>
          <w:sz w:val="44"/>
          <w:szCs w:val="44"/>
        </w:rPr>
        <w:t>苏州市市场监督管理局</w:t>
      </w:r>
      <w:r>
        <w:rPr>
          <w:rFonts w:ascii="方正小标宋_GBK" w:eastAsia="方正小标宋_GBK" w:hAnsi="宋体" w:cs="SimSun,Bold" w:hint="eastAsia"/>
          <w:bCs/>
          <w:snapToGrid w:val="0"/>
          <w:kern w:val="0"/>
          <w:sz w:val="44"/>
          <w:szCs w:val="52"/>
        </w:rPr>
        <w:t xml:space="preserve">  </w:t>
      </w:r>
      <w:r>
        <w:rPr>
          <w:rFonts w:ascii="黑体" w:eastAsia="黑体" w:hAnsi="黑体" w:hint="eastAsia"/>
          <w:sz w:val="28"/>
          <w:szCs w:val="28"/>
        </w:rPr>
        <w:t>发 布</w:t>
      </w:r>
      <w:bookmarkEnd w:id="0"/>
      <w:bookmarkEnd w:id="1"/>
    </w:p>
    <w:p w14:paraId="6DA33BF4" w14:textId="77777777" w:rsidR="009D5D3B" w:rsidRDefault="009D5D3B">
      <w:pPr>
        <w:pStyle w:val="ae"/>
      </w:pPr>
    </w:p>
    <w:p w14:paraId="2A3FFB33" w14:textId="77777777" w:rsidR="009D5D3B" w:rsidRDefault="009D5D3B">
      <w:pPr>
        <w:rPr>
          <w:rFonts w:ascii="黑体" w:eastAsia="黑体" w:hAnsi="黑体" w:hint="eastAsia"/>
          <w:sz w:val="28"/>
          <w:szCs w:val="28"/>
        </w:rPr>
        <w:sectPr w:rsidR="009D5D3B">
          <w:pgSz w:w="11906" w:h="16838"/>
          <w:pgMar w:top="567" w:right="851" w:bottom="1134" w:left="1418" w:header="0" w:footer="0" w:gutter="0"/>
          <w:cols w:space="425"/>
          <w:docGrid w:type="lines" w:linePitch="312"/>
        </w:sectPr>
      </w:pPr>
    </w:p>
    <w:p w14:paraId="73949B3B" w14:textId="77777777" w:rsidR="009D5D3B" w:rsidRDefault="00000000">
      <w:pPr>
        <w:snapToGrid w:val="0"/>
        <w:spacing w:before="567" w:after="680"/>
        <w:jc w:val="center"/>
        <w:rPr>
          <w:rFonts w:ascii="黑体" w:eastAsia="黑体" w:hAnsi="黑体" w:hint="eastAsia"/>
          <w:sz w:val="32"/>
          <w:szCs w:val="32"/>
        </w:rPr>
      </w:pPr>
      <w:r>
        <w:rPr>
          <w:rFonts w:ascii="黑体" w:eastAsia="黑体" w:hAnsi="黑体" w:hint="eastAsia"/>
          <w:sz w:val="32"/>
          <w:szCs w:val="32"/>
        </w:rPr>
        <w:lastRenderedPageBreak/>
        <w:t>目</w:t>
      </w:r>
      <w:r>
        <w:rPr>
          <w:rFonts w:ascii="黑体" w:eastAsia="黑体" w:hAnsi="黑体" w:hint="eastAsia"/>
          <w:bCs/>
          <w:sz w:val="32"/>
          <w:szCs w:val="32"/>
        </w:rPr>
        <w:t xml:space="preserve">    </w:t>
      </w:r>
      <w:r>
        <w:rPr>
          <w:rFonts w:ascii="黑体" w:eastAsia="黑体" w:hAnsi="黑体" w:hint="eastAsia"/>
          <w:sz w:val="32"/>
          <w:szCs w:val="32"/>
        </w:rPr>
        <w:t>次</w:t>
      </w:r>
    </w:p>
    <w:p w14:paraId="2714201E" w14:textId="77777777" w:rsidR="009D5D3B" w:rsidRDefault="00000000">
      <w:pPr>
        <w:pStyle w:val="TOC1"/>
        <w:tabs>
          <w:tab w:val="right" w:leader="dot" w:pos="9354"/>
        </w:tabs>
        <w:rPr>
          <w:rFonts w:ascii="宋体" w:eastAsia="宋体" w:hAnsi="宋体" w:cs="宋体" w:hint="eastAsia"/>
        </w:rPr>
      </w:pPr>
      <w:r>
        <w:rPr>
          <w:rFonts w:ascii="宋体" w:eastAsia="宋体" w:hAnsi="宋体" w:cs="宋体" w:hint="eastAsia"/>
          <w:szCs w:val="21"/>
        </w:rPr>
        <w:fldChar w:fldCharType="begin"/>
      </w:r>
      <w:r>
        <w:rPr>
          <w:rFonts w:ascii="宋体" w:eastAsia="宋体" w:hAnsi="宋体" w:cs="宋体" w:hint="eastAsia"/>
          <w:szCs w:val="21"/>
        </w:rPr>
        <w:instrText xml:space="preserve"> TOC \o "1-3" \h \z \u </w:instrText>
      </w:r>
      <w:r>
        <w:rPr>
          <w:rFonts w:ascii="宋体" w:eastAsia="宋体" w:hAnsi="宋体" w:cs="宋体" w:hint="eastAsia"/>
          <w:szCs w:val="21"/>
        </w:rPr>
        <w:fldChar w:fldCharType="separate"/>
      </w:r>
      <w:hyperlink w:anchor="_Toc15729" w:history="1">
        <w:r>
          <w:rPr>
            <w:rFonts w:ascii="宋体" w:eastAsia="宋体" w:hAnsi="宋体" w:cs="宋体" w:hint="eastAsia"/>
            <w:kern w:val="0"/>
            <w:szCs w:val="32"/>
          </w:rPr>
          <w:t>前言</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_Toc15729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II</w:t>
        </w:r>
        <w:r>
          <w:rPr>
            <w:rFonts w:ascii="宋体" w:eastAsia="宋体" w:hAnsi="宋体" w:cs="宋体" w:hint="eastAsia"/>
          </w:rPr>
          <w:fldChar w:fldCharType="end"/>
        </w:r>
      </w:hyperlink>
    </w:p>
    <w:p w14:paraId="4A20F823" w14:textId="77777777" w:rsidR="009D5D3B" w:rsidRDefault="00000000">
      <w:pPr>
        <w:pStyle w:val="TOC1"/>
        <w:tabs>
          <w:tab w:val="right" w:leader="dot" w:pos="9354"/>
        </w:tabs>
        <w:rPr>
          <w:rFonts w:ascii="宋体" w:eastAsia="宋体" w:hAnsi="宋体" w:cs="宋体" w:hint="eastAsia"/>
        </w:rPr>
      </w:pPr>
      <w:hyperlink w:anchor="_Toc19470" w:history="1">
        <w:r>
          <w:rPr>
            <w:rFonts w:ascii="宋体" w:eastAsia="宋体" w:hAnsi="宋体" w:cs="宋体" w:hint="eastAsia"/>
            <w:kern w:val="0"/>
            <w:szCs w:val="32"/>
          </w:rPr>
          <w:t>引言</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_Toc19470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III</w:t>
        </w:r>
        <w:r>
          <w:rPr>
            <w:rFonts w:ascii="宋体" w:eastAsia="宋体" w:hAnsi="宋体" w:cs="宋体" w:hint="eastAsia"/>
          </w:rPr>
          <w:fldChar w:fldCharType="end"/>
        </w:r>
      </w:hyperlink>
    </w:p>
    <w:p w14:paraId="6DDC3D5D" w14:textId="77777777" w:rsidR="009D5D3B" w:rsidRDefault="00000000">
      <w:pPr>
        <w:pStyle w:val="TOC1"/>
        <w:tabs>
          <w:tab w:val="right" w:leader="dot" w:pos="9354"/>
        </w:tabs>
        <w:rPr>
          <w:rFonts w:ascii="宋体" w:eastAsia="宋体" w:hAnsi="宋体" w:cs="宋体" w:hint="eastAsia"/>
        </w:rPr>
      </w:pPr>
      <w:hyperlink w:anchor="_Toc8927" w:history="1">
        <w:r>
          <w:rPr>
            <w:rFonts w:ascii="宋体" w:eastAsia="宋体" w:hAnsi="宋体" w:cs="宋体" w:hint="eastAsia"/>
          </w:rPr>
          <w:t>1  范围</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_Toc8927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14:paraId="352B1325" w14:textId="77777777" w:rsidR="009D5D3B" w:rsidRDefault="00000000">
      <w:pPr>
        <w:pStyle w:val="TOC1"/>
        <w:tabs>
          <w:tab w:val="right" w:leader="dot" w:pos="9354"/>
        </w:tabs>
        <w:rPr>
          <w:rFonts w:ascii="宋体" w:eastAsia="宋体" w:hAnsi="宋体" w:cs="宋体" w:hint="eastAsia"/>
        </w:rPr>
      </w:pPr>
      <w:hyperlink w:anchor="_Toc11294" w:history="1">
        <w:r>
          <w:rPr>
            <w:rFonts w:ascii="宋体" w:eastAsia="宋体" w:hAnsi="宋体" w:cs="宋体" w:hint="eastAsia"/>
          </w:rPr>
          <w:t>2  规范性引用文件</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_Toc11294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14:paraId="508A3DBE" w14:textId="77777777" w:rsidR="009D5D3B" w:rsidRDefault="00000000">
      <w:pPr>
        <w:pStyle w:val="TOC1"/>
        <w:tabs>
          <w:tab w:val="right" w:leader="dot" w:pos="9354"/>
        </w:tabs>
        <w:rPr>
          <w:rFonts w:ascii="宋体" w:eastAsia="宋体" w:hAnsi="宋体" w:cs="宋体" w:hint="eastAsia"/>
        </w:rPr>
      </w:pPr>
      <w:hyperlink w:anchor="_Toc26169" w:history="1">
        <w:r>
          <w:rPr>
            <w:rFonts w:ascii="宋体" w:eastAsia="宋体" w:hAnsi="宋体" w:cs="宋体" w:hint="eastAsia"/>
            <w:szCs w:val="21"/>
          </w:rPr>
          <w:t>3  术语和定义</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_Toc26169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14:paraId="626F90EA" w14:textId="77777777" w:rsidR="009D5D3B" w:rsidRDefault="00000000">
      <w:pPr>
        <w:pStyle w:val="TOC1"/>
        <w:tabs>
          <w:tab w:val="right" w:leader="dot" w:pos="9354"/>
        </w:tabs>
        <w:rPr>
          <w:rFonts w:ascii="宋体" w:eastAsia="宋体" w:hAnsi="宋体" w:cs="宋体" w:hint="eastAsia"/>
        </w:rPr>
      </w:pPr>
      <w:hyperlink w:anchor="_Toc31122" w:history="1">
        <w:r>
          <w:rPr>
            <w:rFonts w:ascii="宋体" w:eastAsia="宋体" w:hAnsi="宋体" w:cs="宋体" w:hint="eastAsia"/>
            <w:szCs w:val="21"/>
          </w:rPr>
          <w:t>4  总体原则</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_Toc31122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hyperlink>
    </w:p>
    <w:p w14:paraId="6D175A9D" w14:textId="77777777" w:rsidR="009D5D3B" w:rsidRDefault="00000000">
      <w:pPr>
        <w:pStyle w:val="TOC1"/>
        <w:tabs>
          <w:tab w:val="right" w:leader="dot" w:pos="9354"/>
        </w:tabs>
        <w:rPr>
          <w:rFonts w:ascii="宋体" w:eastAsia="宋体" w:hAnsi="宋体" w:cs="宋体" w:hint="eastAsia"/>
        </w:rPr>
      </w:pPr>
      <w:hyperlink w:anchor="_Toc28919" w:history="1">
        <w:r>
          <w:rPr>
            <w:rFonts w:ascii="宋体" w:eastAsia="宋体" w:hAnsi="宋体" w:cs="宋体" w:hint="eastAsia"/>
          </w:rPr>
          <w:t xml:space="preserve">5  </w:t>
        </w:r>
        <w:r>
          <w:rPr>
            <w:rFonts w:ascii="宋体" w:eastAsia="宋体" w:hAnsi="宋体" w:cs="宋体" w:hint="eastAsia"/>
            <w:szCs w:val="21"/>
          </w:rPr>
          <w:t>技术性要素</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_Toc28919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hyperlink>
    </w:p>
    <w:p w14:paraId="33FC31AC" w14:textId="77777777" w:rsidR="009D5D3B" w:rsidRDefault="00000000">
      <w:pPr>
        <w:pStyle w:val="TOC2"/>
        <w:tabs>
          <w:tab w:val="clear" w:pos="9344"/>
          <w:tab w:val="right" w:leader="dot" w:pos="9354"/>
        </w:tabs>
        <w:rPr>
          <w:rFonts w:ascii="宋体" w:eastAsia="宋体" w:hAnsi="宋体" w:cs="宋体" w:hint="eastAsia"/>
        </w:rPr>
      </w:pPr>
      <w:hyperlink w:anchor="_Toc21290" w:history="1">
        <w:r>
          <w:rPr>
            <w:rFonts w:ascii="宋体" w:eastAsia="宋体" w:hAnsi="宋体" w:cs="宋体" w:hint="eastAsia"/>
            <w:kern w:val="0"/>
            <w14:scene3d>
              <w14:camera w14:prst="orthographicFront"/>
              <w14:lightRig w14:rig="threePt" w14:dir="t">
                <w14:rot w14:lat="0" w14:lon="0" w14:rev="0"/>
              </w14:lightRig>
            </w14:scene3d>
          </w:rPr>
          <w:t xml:space="preserve">5.1  </w:t>
        </w:r>
        <w:r>
          <w:rPr>
            <w:rFonts w:ascii="宋体" w:eastAsia="宋体" w:hAnsi="宋体" w:cs="宋体" w:hint="eastAsia"/>
          </w:rPr>
          <w:t>信息披露文件</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_Toc21290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hyperlink>
    </w:p>
    <w:p w14:paraId="6D0A580B" w14:textId="77777777" w:rsidR="009D5D3B" w:rsidRDefault="00000000">
      <w:pPr>
        <w:pStyle w:val="TOC2"/>
        <w:tabs>
          <w:tab w:val="clear" w:pos="9344"/>
          <w:tab w:val="right" w:leader="dot" w:pos="9354"/>
        </w:tabs>
        <w:rPr>
          <w:rFonts w:ascii="宋体" w:eastAsia="宋体" w:hAnsi="宋体" w:cs="宋体" w:hint="eastAsia"/>
        </w:rPr>
      </w:pPr>
      <w:hyperlink w:anchor="_Toc32091" w:history="1">
        <w:r>
          <w:rPr>
            <w:rFonts w:ascii="宋体" w:eastAsia="宋体" w:hAnsi="宋体" w:cs="宋体" w:hint="eastAsia"/>
            <w:kern w:val="0"/>
            <w14:scene3d>
              <w14:camera w14:prst="orthographicFront"/>
              <w14:lightRig w14:rig="threePt" w14:dir="t">
                <w14:rot w14:lat="0" w14:lon="0" w14:rev="0"/>
              </w14:lightRig>
            </w14:scene3d>
          </w:rPr>
          <w:t xml:space="preserve">5.2  </w:t>
        </w:r>
        <w:r>
          <w:rPr>
            <w:rFonts w:ascii="宋体" w:eastAsia="宋体" w:hAnsi="宋体" w:cs="宋体" w:hint="eastAsia"/>
          </w:rPr>
          <w:t>签字、盖章</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_Toc32091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hyperlink>
    </w:p>
    <w:p w14:paraId="40E07F8E" w14:textId="77777777" w:rsidR="009D5D3B" w:rsidRDefault="00000000">
      <w:pPr>
        <w:pStyle w:val="TOC2"/>
        <w:tabs>
          <w:tab w:val="clear" w:pos="9344"/>
          <w:tab w:val="right" w:leader="dot" w:pos="9354"/>
        </w:tabs>
        <w:rPr>
          <w:rFonts w:ascii="宋体" w:eastAsia="宋体" w:hAnsi="宋体" w:cs="宋体" w:hint="eastAsia"/>
        </w:rPr>
      </w:pPr>
      <w:hyperlink w:anchor="_Toc20120" w:history="1">
        <w:r>
          <w:rPr>
            <w:rFonts w:ascii="宋体" w:eastAsia="宋体" w:hAnsi="宋体" w:cs="宋体" w:hint="eastAsia"/>
            <w:kern w:val="0"/>
            <w14:scene3d>
              <w14:camera w14:prst="orthographicFront"/>
              <w14:lightRig w14:rig="threePt" w14:dir="t">
                <w14:rot w14:lat="0" w14:lon="0" w14:rev="0"/>
              </w14:lightRig>
            </w14:scene3d>
          </w:rPr>
          <w:t xml:space="preserve">5.3  </w:t>
        </w:r>
        <w:r>
          <w:rPr>
            <w:rFonts w:ascii="宋体" w:eastAsia="宋体" w:hAnsi="宋体" w:cs="宋体" w:hint="eastAsia"/>
          </w:rPr>
          <w:t>有效期</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_Toc20120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hyperlink>
    </w:p>
    <w:p w14:paraId="7F8A313D" w14:textId="77777777" w:rsidR="009D5D3B" w:rsidRDefault="00000000">
      <w:pPr>
        <w:pStyle w:val="TOC1"/>
        <w:tabs>
          <w:tab w:val="right" w:leader="dot" w:pos="9354"/>
        </w:tabs>
        <w:rPr>
          <w:rFonts w:ascii="宋体" w:eastAsia="宋体" w:hAnsi="宋体" w:cs="宋体" w:hint="eastAsia"/>
        </w:rPr>
      </w:pPr>
      <w:hyperlink w:anchor="_Toc25828" w:history="1">
        <w:r>
          <w:rPr>
            <w:rFonts w:ascii="宋体" w:eastAsia="宋体" w:hAnsi="宋体" w:cs="宋体" w:hint="eastAsia"/>
          </w:rPr>
          <w:t xml:space="preserve">6  </w:t>
        </w:r>
        <w:r>
          <w:rPr>
            <w:rFonts w:ascii="宋体" w:eastAsia="宋体" w:hAnsi="宋体" w:cs="宋体" w:hint="eastAsia"/>
            <w:szCs w:val="21"/>
          </w:rPr>
          <w:t>披露程序</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_Toc25828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hyperlink>
    </w:p>
    <w:p w14:paraId="738FFC60" w14:textId="77777777" w:rsidR="009D5D3B" w:rsidRDefault="00000000">
      <w:pPr>
        <w:pStyle w:val="TOC2"/>
        <w:tabs>
          <w:tab w:val="clear" w:pos="9344"/>
          <w:tab w:val="right" w:leader="dot" w:pos="9354"/>
        </w:tabs>
        <w:rPr>
          <w:rFonts w:ascii="宋体" w:eastAsia="宋体" w:hAnsi="宋体" w:cs="宋体" w:hint="eastAsia"/>
        </w:rPr>
      </w:pPr>
      <w:hyperlink w:anchor="_Toc22444" w:history="1">
        <w:r>
          <w:rPr>
            <w:rFonts w:ascii="宋体" w:eastAsia="宋体" w:hAnsi="宋体" w:cs="宋体" w:hint="eastAsia"/>
            <w:kern w:val="0"/>
            <w14:scene3d>
              <w14:camera w14:prst="orthographicFront"/>
              <w14:lightRig w14:rig="threePt" w14:dir="t">
                <w14:rot w14:lat="0" w14:lon="0" w14:rev="0"/>
              </w14:lightRig>
            </w14:scene3d>
          </w:rPr>
          <w:t xml:space="preserve">6.1  </w:t>
        </w:r>
        <w:r>
          <w:rPr>
            <w:rFonts w:ascii="宋体" w:eastAsia="宋体" w:hAnsi="宋体" w:cs="宋体" w:hint="eastAsia"/>
          </w:rPr>
          <w:t>团队建设</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_Toc22444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hyperlink>
    </w:p>
    <w:p w14:paraId="75D1DB98" w14:textId="77777777" w:rsidR="009D5D3B" w:rsidRDefault="00000000">
      <w:pPr>
        <w:pStyle w:val="TOC2"/>
        <w:tabs>
          <w:tab w:val="clear" w:pos="9344"/>
          <w:tab w:val="right" w:leader="dot" w:pos="9354"/>
        </w:tabs>
        <w:rPr>
          <w:rFonts w:ascii="宋体" w:eastAsia="宋体" w:hAnsi="宋体" w:cs="宋体" w:hint="eastAsia"/>
        </w:rPr>
      </w:pPr>
      <w:hyperlink w:anchor="_Toc9022" w:history="1">
        <w:r>
          <w:rPr>
            <w:rFonts w:ascii="宋体" w:eastAsia="宋体" w:hAnsi="宋体" w:cs="宋体" w:hint="eastAsia"/>
            <w:kern w:val="0"/>
            <w14:scene3d>
              <w14:camera w14:prst="orthographicFront"/>
              <w14:lightRig w14:rig="threePt" w14:dir="t">
                <w14:rot w14:lat="0" w14:lon="0" w14:rev="0"/>
              </w14:lightRig>
            </w14:scene3d>
          </w:rPr>
          <w:t xml:space="preserve">6.2  </w:t>
        </w:r>
        <w:r>
          <w:rPr>
            <w:rFonts w:ascii="宋体" w:eastAsia="宋体" w:hAnsi="宋体" w:cs="宋体" w:hint="eastAsia"/>
          </w:rPr>
          <w:t>确定上市时间表</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_Toc9022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hyperlink>
    </w:p>
    <w:p w14:paraId="0EE245A4" w14:textId="77777777" w:rsidR="009D5D3B" w:rsidRDefault="00000000">
      <w:pPr>
        <w:pStyle w:val="TOC2"/>
        <w:tabs>
          <w:tab w:val="clear" w:pos="9344"/>
          <w:tab w:val="right" w:leader="dot" w:pos="9354"/>
        </w:tabs>
        <w:rPr>
          <w:rFonts w:ascii="宋体" w:eastAsia="宋体" w:hAnsi="宋体" w:cs="宋体" w:hint="eastAsia"/>
        </w:rPr>
      </w:pPr>
      <w:hyperlink w:anchor="_Toc17911" w:history="1">
        <w:r>
          <w:rPr>
            <w:rFonts w:ascii="宋体" w:eastAsia="宋体" w:hAnsi="宋体" w:cs="宋体" w:hint="eastAsia"/>
            <w:kern w:val="0"/>
            <w14:scene3d>
              <w14:camera w14:prst="orthographicFront"/>
              <w14:lightRig w14:rig="threePt" w14:dir="t">
                <w14:rot w14:lat="0" w14:lon="0" w14:rev="0"/>
              </w14:lightRig>
            </w14:scene3d>
          </w:rPr>
          <w:t xml:space="preserve">6.3  </w:t>
        </w:r>
        <w:r>
          <w:rPr>
            <w:rFonts w:ascii="宋体" w:eastAsia="宋体" w:hAnsi="宋体" w:cs="宋体" w:hint="eastAsia"/>
          </w:rPr>
          <w:t>信息收集</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_Toc17911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hyperlink>
    </w:p>
    <w:p w14:paraId="19965BF4" w14:textId="77777777" w:rsidR="009D5D3B" w:rsidRDefault="00000000">
      <w:pPr>
        <w:pStyle w:val="TOC2"/>
        <w:tabs>
          <w:tab w:val="clear" w:pos="9344"/>
          <w:tab w:val="right" w:leader="dot" w:pos="9354"/>
        </w:tabs>
        <w:rPr>
          <w:rFonts w:ascii="宋体" w:eastAsia="宋体" w:hAnsi="宋体" w:cs="宋体" w:hint="eastAsia"/>
        </w:rPr>
      </w:pPr>
      <w:hyperlink w:anchor="_Toc14828" w:history="1">
        <w:r>
          <w:rPr>
            <w:rFonts w:ascii="宋体" w:eastAsia="宋体" w:hAnsi="宋体" w:cs="宋体" w:hint="eastAsia"/>
            <w:kern w:val="0"/>
            <w14:scene3d>
              <w14:camera w14:prst="orthographicFront"/>
              <w14:lightRig w14:rig="threePt" w14:dir="t">
                <w14:rot w14:lat="0" w14:lon="0" w14:rev="0"/>
              </w14:lightRig>
            </w14:scene3d>
          </w:rPr>
          <w:t xml:space="preserve">6.4  </w:t>
        </w:r>
        <w:r>
          <w:rPr>
            <w:rFonts w:ascii="宋体" w:eastAsia="宋体" w:hAnsi="宋体" w:cs="宋体" w:hint="eastAsia"/>
          </w:rPr>
          <w:t>问题自查</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_Toc14828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hyperlink>
    </w:p>
    <w:p w14:paraId="38525C09" w14:textId="77777777" w:rsidR="009D5D3B" w:rsidRDefault="00000000">
      <w:pPr>
        <w:pStyle w:val="TOC2"/>
        <w:tabs>
          <w:tab w:val="clear" w:pos="9344"/>
          <w:tab w:val="right" w:leader="dot" w:pos="9354"/>
        </w:tabs>
        <w:rPr>
          <w:rFonts w:ascii="宋体" w:eastAsia="宋体" w:hAnsi="宋体" w:cs="宋体" w:hint="eastAsia"/>
        </w:rPr>
      </w:pPr>
      <w:hyperlink w:anchor="_Toc17505" w:history="1">
        <w:r>
          <w:rPr>
            <w:rFonts w:ascii="宋体" w:eastAsia="宋体" w:hAnsi="宋体" w:cs="宋体" w:hint="eastAsia"/>
            <w:kern w:val="0"/>
            <w14:scene3d>
              <w14:camera w14:prst="orthographicFront"/>
              <w14:lightRig w14:rig="threePt" w14:dir="t">
                <w14:rot w14:lat="0" w14:lon="0" w14:rev="0"/>
              </w14:lightRig>
            </w14:scene3d>
          </w:rPr>
          <w:t xml:space="preserve">6.5  </w:t>
        </w:r>
        <w:r>
          <w:rPr>
            <w:rFonts w:ascii="宋体" w:eastAsia="宋体" w:hAnsi="宋体" w:cs="宋体" w:hint="eastAsia"/>
          </w:rPr>
          <w:t>尽职调查</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_Toc17505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hyperlink>
    </w:p>
    <w:p w14:paraId="4AA1882E" w14:textId="77777777" w:rsidR="009D5D3B" w:rsidRDefault="00000000">
      <w:pPr>
        <w:pStyle w:val="TOC2"/>
        <w:tabs>
          <w:tab w:val="clear" w:pos="9344"/>
          <w:tab w:val="right" w:leader="dot" w:pos="9354"/>
        </w:tabs>
        <w:rPr>
          <w:rFonts w:ascii="宋体" w:eastAsia="宋体" w:hAnsi="宋体" w:cs="宋体" w:hint="eastAsia"/>
        </w:rPr>
      </w:pPr>
      <w:hyperlink w:anchor="_Toc16887" w:history="1">
        <w:r>
          <w:rPr>
            <w:rFonts w:ascii="宋体" w:eastAsia="宋体" w:hAnsi="宋体" w:cs="宋体" w:hint="eastAsia"/>
            <w:kern w:val="0"/>
            <w14:scene3d>
              <w14:camera w14:prst="orthographicFront"/>
              <w14:lightRig w14:rig="threePt" w14:dir="t">
                <w14:rot w14:lat="0" w14:lon="0" w14:rev="0"/>
              </w14:lightRig>
            </w14:scene3d>
          </w:rPr>
          <w:t xml:space="preserve">6.6  </w:t>
        </w:r>
        <w:r>
          <w:rPr>
            <w:rFonts w:ascii="宋体" w:eastAsia="宋体" w:hAnsi="宋体" w:cs="宋体" w:hint="eastAsia"/>
          </w:rPr>
          <w:t>编制招股说明书</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_Toc16887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hyperlink>
    </w:p>
    <w:p w14:paraId="31F22E6B" w14:textId="77777777" w:rsidR="009D5D3B" w:rsidRDefault="00000000">
      <w:pPr>
        <w:pStyle w:val="TOC2"/>
        <w:tabs>
          <w:tab w:val="clear" w:pos="9344"/>
          <w:tab w:val="right" w:leader="dot" w:pos="9354"/>
        </w:tabs>
        <w:rPr>
          <w:rFonts w:ascii="宋体" w:eastAsia="宋体" w:hAnsi="宋体" w:cs="宋体" w:hint="eastAsia"/>
        </w:rPr>
      </w:pPr>
      <w:hyperlink w:anchor="_Toc17025" w:history="1">
        <w:r>
          <w:rPr>
            <w:rFonts w:ascii="宋体" w:eastAsia="宋体" w:hAnsi="宋体" w:cs="宋体" w:hint="eastAsia"/>
            <w:kern w:val="0"/>
            <w14:scene3d>
              <w14:camera w14:prst="orthographicFront"/>
              <w14:lightRig w14:rig="threePt" w14:dir="t">
                <w14:rot w14:lat="0" w14:lon="0" w14:rev="0"/>
              </w14:lightRig>
            </w14:scene3d>
          </w:rPr>
          <w:t xml:space="preserve">6.7  </w:t>
        </w:r>
        <w:r>
          <w:rPr>
            <w:rFonts w:ascii="宋体" w:eastAsia="宋体" w:hAnsi="宋体" w:cs="宋体" w:hint="eastAsia"/>
          </w:rPr>
          <w:t>提交申请</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_Toc17025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hyperlink>
    </w:p>
    <w:p w14:paraId="32EB9351" w14:textId="77777777" w:rsidR="009D5D3B" w:rsidRDefault="00000000">
      <w:pPr>
        <w:pStyle w:val="TOC1"/>
        <w:tabs>
          <w:tab w:val="right" w:leader="dot" w:pos="9354"/>
        </w:tabs>
        <w:rPr>
          <w:rFonts w:ascii="宋体" w:eastAsia="宋体" w:hAnsi="宋体" w:cs="宋体" w:hint="eastAsia"/>
        </w:rPr>
      </w:pPr>
      <w:hyperlink w:anchor="_Toc9324" w:history="1">
        <w:r>
          <w:rPr>
            <w:rFonts w:ascii="宋体" w:eastAsia="宋体" w:hAnsi="宋体" w:cs="宋体" w:hint="eastAsia"/>
          </w:rPr>
          <w:t>7  披露重点</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_Toc9324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hyperlink>
    </w:p>
    <w:p w14:paraId="127F591B" w14:textId="77777777" w:rsidR="009D5D3B" w:rsidRDefault="00000000">
      <w:pPr>
        <w:pStyle w:val="TOC2"/>
        <w:tabs>
          <w:tab w:val="clear" w:pos="9344"/>
          <w:tab w:val="right" w:leader="dot" w:pos="9354"/>
        </w:tabs>
        <w:rPr>
          <w:rFonts w:ascii="宋体" w:eastAsia="宋体" w:hAnsi="宋体" w:cs="宋体" w:hint="eastAsia"/>
        </w:rPr>
      </w:pPr>
      <w:hyperlink w:anchor="_Toc9667" w:history="1">
        <w:r>
          <w:rPr>
            <w:rFonts w:ascii="宋体" w:eastAsia="宋体" w:hAnsi="宋体" w:cs="宋体" w:hint="eastAsia"/>
            <w:kern w:val="0"/>
            <w14:scene3d>
              <w14:camera w14:prst="orthographicFront"/>
              <w14:lightRig w14:rig="threePt" w14:dir="t">
                <w14:rot w14:lat="0" w14:lon="0" w14:rev="0"/>
              </w14:lightRig>
            </w14:scene3d>
          </w:rPr>
          <w:t xml:space="preserve">7.1  </w:t>
        </w:r>
        <w:r>
          <w:rPr>
            <w:rFonts w:ascii="宋体" w:eastAsia="宋体" w:hAnsi="宋体" w:cs="宋体" w:hint="eastAsia"/>
          </w:rPr>
          <w:t>披露范围</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_Toc9667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hyperlink>
    </w:p>
    <w:p w14:paraId="3A8A09A5" w14:textId="77777777" w:rsidR="009D5D3B" w:rsidRDefault="00000000">
      <w:pPr>
        <w:pStyle w:val="TOC2"/>
        <w:tabs>
          <w:tab w:val="clear" w:pos="9344"/>
          <w:tab w:val="right" w:leader="dot" w:pos="9354"/>
        </w:tabs>
        <w:rPr>
          <w:rFonts w:ascii="宋体" w:eastAsia="宋体" w:hAnsi="宋体" w:cs="宋体" w:hint="eastAsia"/>
        </w:rPr>
      </w:pPr>
      <w:hyperlink w:anchor="_Toc30573" w:history="1">
        <w:r>
          <w:rPr>
            <w:rFonts w:ascii="宋体" w:eastAsia="宋体" w:hAnsi="宋体" w:cs="宋体" w:hint="eastAsia"/>
            <w:kern w:val="0"/>
            <w14:scene3d>
              <w14:camera w14:prst="orthographicFront"/>
              <w14:lightRig w14:rig="threePt" w14:dir="t">
                <w14:rot w14:lat="0" w14:lon="0" w14:rev="0"/>
              </w14:lightRig>
            </w14:scene3d>
          </w:rPr>
          <w:t xml:space="preserve">7.2  </w:t>
        </w:r>
        <w:r>
          <w:rPr>
            <w:rFonts w:ascii="宋体" w:eastAsia="宋体" w:hAnsi="宋体" w:cs="宋体" w:hint="eastAsia"/>
          </w:rPr>
          <w:t>板块定位</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_Toc30573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hyperlink>
    </w:p>
    <w:p w14:paraId="5CA0D88E" w14:textId="77777777" w:rsidR="009D5D3B" w:rsidRDefault="00000000">
      <w:pPr>
        <w:pStyle w:val="TOC2"/>
        <w:tabs>
          <w:tab w:val="clear" w:pos="9344"/>
          <w:tab w:val="right" w:leader="dot" w:pos="9354"/>
        </w:tabs>
        <w:rPr>
          <w:rFonts w:ascii="宋体" w:eastAsia="宋体" w:hAnsi="宋体" w:cs="宋体" w:hint="eastAsia"/>
        </w:rPr>
      </w:pPr>
      <w:hyperlink w:anchor="_Toc24724" w:history="1">
        <w:r>
          <w:rPr>
            <w:rFonts w:ascii="宋体" w:eastAsia="宋体" w:hAnsi="宋体" w:cs="宋体" w:hint="eastAsia"/>
            <w:kern w:val="0"/>
            <w14:scene3d>
              <w14:camera w14:prst="orthographicFront"/>
              <w14:lightRig w14:rig="threePt" w14:dir="t">
                <w14:rot w14:lat="0" w14:lon="0" w14:rev="0"/>
              </w14:lightRig>
            </w14:scene3d>
          </w:rPr>
          <w:t xml:space="preserve">7.3  </w:t>
        </w:r>
        <w:r>
          <w:rPr>
            <w:rFonts w:ascii="宋体" w:eastAsia="宋体" w:hAnsi="宋体" w:cs="宋体" w:hint="eastAsia"/>
          </w:rPr>
          <w:t>合规性</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_Toc24724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5</w:t>
        </w:r>
        <w:r>
          <w:rPr>
            <w:rFonts w:ascii="宋体" w:eastAsia="宋体" w:hAnsi="宋体" w:cs="宋体" w:hint="eastAsia"/>
          </w:rPr>
          <w:fldChar w:fldCharType="end"/>
        </w:r>
      </w:hyperlink>
    </w:p>
    <w:p w14:paraId="21A0A2B8" w14:textId="77777777" w:rsidR="009D5D3B" w:rsidRDefault="00000000">
      <w:pPr>
        <w:pStyle w:val="TOC2"/>
        <w:tabs>
          <w:tab w:val="clear" w:pos="9344"/>
          <w:tab w:val="right" w:leader="dot" w:pos="9354"/>
        </w:tabs>
        <w:rPr>
          <w:rFonts w:ascii="宋体" w:eastAsia="宋体" w:hAnsi="宋体" w:cs="宋体" w:hint="eastAsia"/>
        </w:rPr>
      </w:pPr>
      <w:hyperlink w:anchor="_Toc11549" w:history="1">
        <w:r>
          <w:rPr>
            <w:rFonts w:ascii="宋体" w:eastAsia="宋体" w:hAnsi="宋体" w:cs="宋体" w:hint="eastAsia"/>
            <w:kern w:val="0"/>
            <w14:scene3d>
              <w14:camera w14:prst="orthographicFront"/>
              <w14:lightRig w14:rig="threePt" w14:dir="t">
                <w14:rot w14:lat="0" w14:lon="0" w14:rev="0"/>
              </w14:lightRig>
            </w14:scene3d>
          </w:rPr>
          <w:t xml:space="preserve">7.4  </w:t>
        </w:r>
        <w:r>
          <w:rPr>
            <w:rFonts w:ascii="宋体" w:eastAsia="宋体" w:hAnsi="宋体" w:cs="宋体" w:hint="eastAsia"/>
          </w:rPr>
          <w:t>财务类</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_Toc11549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6</w:t>
        </w:r>
        <w:r>
          <w:rPr>
            <w:rFonts w:ascii="宋体" w:eastAsia="宋体" w:hAnsi="宋体" w:cs="宋体" w:hint="eastAsia"/>
          </w:rPr>
          <w:fldChar w:fldCharType="end"/>
        </w:r>
      </w:hyperlink>
    </w:p>
    <w:p w14:paraId="2A8F2C3C" w14:textId="77777777" w:rsidR="009D5D3B" w:rsidRDefault="00000000">
      <w:pPr>
        <w:pStyle w:val="TOC2"/>
        <w:tabs>
          <w:tab w:val="clear" w:pos="9344"/>
          <w:tab w:val="right" w:leader="dot" w:pos="9354"/>
        </w:tabs>
        <w:rPr>
          <w:rFonts w:ascii="宋体" w:eastAsia="宋体" w:hAnsi="宋体" w:cs="宋体" w:hint="eastAsia"/>
        </w:rPr>
      </w:pPr>
      <w:hyperlink w:anchor="_Toc2103" w:history="1">
        <w:r>
          <w:rPr>
            <w:rFonts w:ascii="宋体" w:eastAsia="宋体" w:hAnsi="宋体" w:cs="宋体" w:hint="eastAsia"/>
            <w:kern w:val="0"/>
            <w14:scene3d>
              <w14:camera w14:prst="orthographicFront"/>
              <w14:lightRig w14:rig="threePt" w14:dir="t">
                <w14:rot w14:lat="0" w14:lon="0" w14:rev="0"/>
              </w14:lightRig>
            </w14:scene3d>
          </w:rPr>
          <w:t xml:space="preserve">7.5  </w:t>
        </w:r>
        <w:r>
          <w:rPr>
            <w:rFonts w:ascii="宋体" w:eastAsia="宋体" w:hAnsi="宋体" w:cs="宋体" w:hint="eastAsia"/>
          </w:rPr>
          <w:t>行业信息披露</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_Toc2103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8</w:t>
        </w:r>
        <w:r>
          <w:rPr>
            <w:rFonts w:ascii="宋体" w:eastAsia="宋体" w:hAnsi="宋体" w:cs="宋体" w:hint="eastAsia"/>
          </w:rPr>
          <w:fldChar w:fldCharType="end"/>
        </w:r>
      </w:hyperlink>
    </w:p>
    <w:p w14:paraId="51A0C6E6" w14:textId="77777777" w:rsidR="009D5D3B" w:rsidRDefault="00000000">
      <w:pPr>
        <w:pStyle w:val="TOC2"/>
        <w:tabs>
          <w:tab w:val="clear" w:pos="9344"/>
          <w:tab w:val="right" w:leader="dot" w:pos="9354"/>
        </w:tabs>
        <w:rPr>
          <w:rFonts w:ascii="宋体" w:eastAsia="宋体" w:hAnsi="宋体" w:cs="宋体" w:hint="eastAsia"/>
        </w:rPr>
      </w:pPr>
      <w:hyperlink w:anchor="_Toc27322" w:history="1">
        <w:r>
          <w:rPr>
            <w:rFonts w:ascii="宋体" w:eastAsia="宋体" w:hAnsi="宋体" w:cs="宋体" w:hint="eastAsia"/>
            <w:kern w:val="0"/>
            <w14:scene3d>
              <w14:camera w14:prst="orthographicFront"/>
              <w14:lightRig w14:rig="threePt" w14:dir="t">
                <w14:rot w14:lat="0" w14:lon="0" w14:rev="0"/>
              </w14:lightRig>
            </w14:scene3d>
          </w:rPr>
          <w:t xml:space="preserve">7.6  </w:t>
        </w:r>
        <w:r>
          <w:rPr>
            <w:rFonts w:ascii="宋体" w:eastAsia="宋体" w:hAnsi="宋体" w:cs="宋体" w:hint="eastAsia"/>
          </w:rPr>
          <w:t>特定类型企业</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_Toc27322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8</w:t>
        </w:r>
        <w:r>
          <w:rPr>
            <w:rFonts w:ascii="宋体" w:eastAsia="宋体" w:hAnsi="宋体" w:cs="宋体" w:hint="eastAsia"/>
          </w:rPr>
          <w:fldChar w:fldCharType="end"/>
        </w:r>
      </w:hyperlink>
    </w:p>
    <w:p w14:paraId="1FFB3BE0" w14:textId="77777777" w:rsidR="009D5D3B" w:rsidRDefault="00000000">
      <w:pPr>
        <w:pStyle w:val="TOC1"/>
        <w:tabs>
          <w:tab w:val="right" w:leader="dot" w:pos="9354"/>
        </w:tabs>
        <w:rPr>
          <w:rFonts w:ascii="宋体" w:eastAsia="宋体" w:hAnsi="宋体" w:cs="宋体" w:hint="eastAsia"/>
        </w:rPr>
      </w:pPr>
      <w:hyperlink w:anchor="_Toc1516" w:history="1">
        <w:r>
          <w:rPr>
            <w:rFonts w:ascii="宋体" w:eastAsia="宋体" w:hAnsi="宋体" w:cs="宋体" w:hint="eastAsia"/>
            <w:szCs w:val="21"/>
          </w:rPr>
          <w:t>参考文献</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_Toc1516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10</w:t>
        </w:r>
        <w:r>
          <w:rPr>
            <w:rFonts w:ascii="宋体" w:eastAsia="宋体" w:hAnsi="宋体" w:cs="宋体" w:hint="eastAsia"/>
          </w:rPr>
          <w:fldChar w:fldCharType="end"/>
        </w:r>
      </w:hyperlink>
    </w:p>
    <w:p w14:paraId="0434BD72" w14:textId="77777777" w:rsidR="009D5D3B" w:rsidRDefault="00000000">
      <w:pPr>
        <w:snapToGrid w:val="0"/>
        <w:jc w:val="left"/>
        <w:rPr>
          <w:rFonts w:ascii="宋体" w:eastAsia="宋体" w:hAnsi="宋体" w:cs="宋体" w:hint="eastAsia"/>
          <w:szCs w:val="21"/>
        </w:rPr>
      </w:pPr>
      <w:r>
        <w:rPr>
          <w:rFonts w:ascii="宋体" w:eastAsia="宋体" w:hAnsi="宋体" w:cs="宋体" w:hint="eastAsia"/>
          <w:szCs w:val="21"/>
        </w:rPr>
        <w:fldChar w:fldCharType="end"/>
      </w:r>
    </w:p>
    <w:p w14:paraId="7654734F" w14:textId="77777777" w:rsidR="009D5D3B" w:rsidRDefault="009D5D3B">
      <w:pPr>
        <w:pStyle w:val="ae"/>
        <w:rPr>
          <w:rFonts w:ascii="宋体" w:eastAsia="宋体" w:hAnsi="宋体" w:cs="宋体" w:hint="eastAsia"/>
          <w:szCs w:val="21"/>
        </w:rPr>
      </w:pPr>
    </w:p>
    <w:p w14:paraId="20D8A70C" w14:textId="77777777" w:rsidR="009D5D3B" w:rsidRDefault="009D5D3B">
      <w:pPr>
        <w:pStyle w:val="ae"/>
        <w:rPr>
          <w:rFonts w:ascii="宋体" w:eastAsia="宋体" w:hAnsi="宋体" w:cs="宋体" w:hint="eastAsia"/>
          <w:szCs w:val="21"/>
        </w:rPr>
      </w:pPr>
    </w:p>
    <w:p w14:paraId="328D28E3" w14:textId="77777777" w:rsidR="009D5D3B" w:rsidRDefault="009D5D3B">
      <w:pPr>
        <w:pStyle w:val="ae"/>
        <w:rPr>
          <w:rFonts w:ascii="宋体" w:eastAsia="宋体" w:hAnsi="宋体" w:cs="宋体" w:hint="eastAsia"/>
          <w:szCs w:val="21"/>
        </w:rPr>
      </w:pPr>
    </w:p>
    <w:p w14:paraId="6C6668C6" w14:textId="77777777" w:rsidR="009D5D3B" w:rsidRDefault="009D5D3B">
      <w:pPr>
        <w:pStyle w:val="a"/>
        <w:shd w:val="clear" w:color="auto" w:fill="auto"/>
        <w:spacing w:before="567" w:afterLines="0" w:after="680"/>
        <w:rPr>
          <w:spacing w:val="320"/>
        </w:rPr>
        <w:sectPr w:rsidR="009D5D3B">
          <w:headerReference w:type="even" r:id="rId8"/>
          <w:headerReference w:type="default" r:id="rId9"/>
          <w:footerReference w:type="even" r:id="rId10"/>
          <w:footerReference w:type="default" r:id="rId11"/>
          <w:pgSz w:w="11906" w:h="16838"/>
          <w:pgMar w:top="1417" w:right="1134" w:bottom="1134" w:left="1418" w:header="1417" w:footer="1134" w:gutter="0"/>
          <w:pgNumType w:fmt="upperRoman" w:start="1"/>
          <w:cols w:space="425"/>
          <w:docGrid w:type="lines" w:linePitch="312"/>
        </w:sectPr>
      </w:pPr>
    </w:p>
    <w:p w14:paraId="2FCE6BBE" w14:textId="77777777" w:rsidR="009D5D3B" w:rsidRDefault="009D5D3B">
      <w:pPr>
        <w:pStyle w:val="ae"/>
        <w:sectPr w:rsidR="009D5D3B">
          <w:footerReference w:type="even" r:id="rId12"/>
          <w:footerReference w:type="default" r:id="rId13"/>
          <w:pgSz w:w="11906" w:h="16838"/>
          <w:pgMar w:top="1417" w:right="1134" w:bottom="1134" w:left="1418" w:header="1417" w:footer="1134" w:gutter="0"/>
          <w:pgNumType w:fmt="upperRoman" w:start="2"/>
          <w:cols w:space="425"/>
          <w:docGrid w:type="lines" w:linePitch="312"/>
        </w:sectPr>
      </w:pPr>
    </w:p>
    <w:p w14:paraId="1D081C96" w14:textId="77777777" w:rsidR="009D5D3B" w:rsidRDefault="00000000">
      <w:pPr>
        <w:snapToGrid w:val="0"/>
        <w:spacing w:before="567" w:after="680"/>
        <w:jc w:val="center"/>
        <w:outlineLvl w:val="0"/>
        <w:rPr>
          <w:rFonts w:ascii="黑体" w:eastAsia="黑体" w:hAnsi="黑体" w:cs="黑体" w:hint="eastAsia"/>
          <w:kern w:val="0"/>
          <w:sz w:val="32"/>
          <w:szCs w:val="32"/>
        </w:rPr>
      </w:pPr>
      <w:bookmarkStart w:id="2" w:name="_Toc15729"/>
      <w:r>
        <w:rPr>
          <w:rFonts w:ascii="黑体" w:eastAsia="黑体" w:hAnsi="黑体" w:cs="黑体" w:hint="eastAsia"/>
          <w:kern w:val="0"/>
          <w:sz w:val="32"/>
          <w:szCs w:val="32"/>
        </w:rPr>
        <w:lastRenderedPageBreak/>
        <w:t>前    言</w:t>
      </w:r>
      <w:bookmarkEnd w:id="2"/>
    </w:p>
    <w:p w14:paraId="5B3D61AF" w14:textId="77777777" w:rsidR="009D5D3B" w:rsidRDefault="00000000">
      <w:pPr>
        <w:snapToGrid w:val="0"/>
        <w:ind w:firstLineChars="200" w:firstLine="420"/>
        <w:rPr>
          <w:rFonts w:ascii="宋体" w:eastAsia="宋体" w:hAnsi="宋体" w:cs="宋体" w:hint="eastAsia"/>
          <w:kern w:val="0"/>
          <w:szCs w:val="21"/>
        </w:rPr>
      </w:pPr>
      <w:r>
        <w:rPr>
          <w:rFonts w:ascii="宋体" w:eastAsia="宋体" w:hAnsi="宋体" w:cs="宋体" w:hint="eastAsia"/>
          <w:kern w:val="0"/>
          <w:szCs w:val="21"/>
        </w:rPr>
        <w:t>本文件按照</w:t>
      </w:r>
      <w:r>
        <w:rPr>
          <w:rFonts w:ascii="宋体" w:eastAsia="宋体" w:hAnsi="宋体" w:cs="宋体"/>
          <w:kern w:val="0"/>
          <w:szCs w:val="21"/>
        </w:rPr>
        <w:t>GB</w:t>
      </w:r>
      <w:r>
        <w:rPr>
          <w:rFonts w:ascii="宋体" w:eastAsia="宋体" w:hAnsi="宋体" w:cs="宋体" w:hint="eastAsia"/>
          <w:kern w:val="0"/>
          <w:szCs w:val="21"/>
        </w:rPr>
        <w:t>/</w:t>
      </w:r>
      <w:r>
        <w:rPr>
          <w:rFonts w:ascii="宋体" w:eastAsia="宋体" w:hAnsi="宋体" w:cs="宋体"/>
          <w:kern w:val="0"/>
          <w:szCs w:val="21"/>
        </w:rPr>
        <w:t>T</w:t>
      </w:r>
      <w:r>
        <w:rPr>
          <w:rFonts w:ascii="宋体" w:eastAsia="宋体" w:hAnsi="宋体" w:cs="宋体" w:hint="eastAsia"/>
          <w:kern w:val="0"/>
          <w:szCs w:val="21"/>
        </w:rPr>
        <w:t xml:space="preserve"> </w:t>
      </w:r>
      <w:r>
        <w:rPr>
          <w:rFonts w:ascii="宋体" w:eastAsia="宋体" w:hAnsi="宋体" w:cs="宋体"/>
          <w:kern w:val="0"/>
          <w:szCs w:val="21"/>
        </w:rPr>
        <w:t>1.1—2020</w:t>
      </w:r>
      <w:r>
        <w:rPr>
          <w:rFonts w:ascii="宋体" w:eastAsia="宋体" w:hAnsi="宋体" w:cs="宋体" w:hint="eastAsia"/>
          <w:kern w:val="0"/>
          <w:szCs w:val="21"/>
        </w:rPr>
        <w:t>《标准</w:t>
      </w:r>
      <w:r>
        <w:rPr>
          <w:rFonts w:ascii="宋体" w:eastAsia="宋体" w:hAnsi="宋体" w:cs="宋体"/>
          <w:kern w:val="0"/>
          <w:szCs w:val="21"/>
        </w:rPr>
        <w:t>化工作导则</w:t>
      </w:r>
      <w:r>
        <w:rPr>
          <w:rFonts w:ascii="宋体" w:eastAsia="宋体" w:hAnsi="宋体" w:cs="宋体" w:hint="eastAsia"/>
          <w:kern w:val="0"/>
          <w:szCs w:val="21"/>
        </w:rPr>
        <w:t xml:space="preserve">  第1部分：</w:t>
      </w:r>
      <w:r>
        <w:rPr>
          <w:rFonts w:ascii="宋体" w:eastAsia="宋体" w:hAnsi="宋体" w:cs="宋体"/>
          <w:kern w:val="0"/>
          <w:szCs w:val="21"/>
        </w:rPr>
        <w:t>标准化文件的</w:t>
      </w:r>
      <w:r>
        <w:rPr>
          <w:rFonts w:ascii="宋体" w:eastAsia="宋体" w:hAnsi="宋体" w:cs="宋体" w:hint="eastAsia"/>
          <w:kern w:val="0"/>
          <w:szCs w:val="21"/>
        </w:rPr>
        <w:t>结构</w:t>
      </w:r>
      <w:r>
        <w:rPr>
          <w:rFonts w:ascii="宋体" w:eastAsia="宋体" w:hAnsi="宋体" w:cs="宋体"/>
          <w:kern w:val="0"/>
          <w:szCs w:val="21"/>
        </w:rPr>
        <w:t>和起草规则</w:t>
      </w:r>
      <w:r>
        <w:rPr>
          <w:rFonts w:ascii="宋体" w:eastAsia="宋体" w:hAnsi="宋体" w:cs="宋体" w:hint="eastAsia"/>
          <w:kern w:val="0"/>
          <w:szCs w:val="21"/>
        </w:rPr>
        <w:t>》的</w:t>
      </w:r>
      <w:r>
        <w:rPr>
          <w:rFonts w:ascii="宋体" w:eastAsia="宋体" w:hAnsi="宋体" w:cs="宋体"/>
          <w:kern w:val="0"/>
          <w:szCs w:val="21"/>
        </w:rPr>
        <w:t>规定</w:t>
      </w:r>
      <w:r>
        <w:rPr>
          <w:rFonts w:ascii="宋体" w:eastAsia="宋体" w:hAnsi="宋体" w:cs="宋体" w:hint="eastAsia"/>
          <w:kern w:val="0"/>
          <w:szCs w:val="21"/>
        </w:rPr>
        <w:t>起草。</w:t>
      </w:r>
    </w:p>
    <w:p w14:paraId="5CD96372" w14:textId="77777777" w:rsidR="009D5D3B" w:rsidRDefault="00000000">
      <w:pPr>
        <w:snapToGrid w:val="0"/>
        <w:ind w:firstLineChars="200" w:firstLine="420"/>
        <w:rPr>
          <w:rFonts w:ascii="宋体" w:eastAsia="宋体" w:hAnsi="宋体" w:cs="宋体" w:hint="eastAsia"/>
          <w:kern w:val="0"/>
          <w:szCs w:val="21"/>
        </w:rPr>
      </w:pPr>
      <w:r>
        <w:rPr>
          <w:rFonts w:ascii="宋体" w:eastAsia="宋体" w:hAnsi="宋体" w:cs="宋体" w:hint="eastAsia"/>
          <w:kern w:val="0"/>
          <w:szCs w:val="21"/>
        </w:rPr>
        <w:t>请注意本文件</w:t>
      </w:r>
      <w:r>
        <w:rPr>
          <w:rFonts w:ascii="宋体" w:eastAsia="宋体" w:hAnsi="宋体" w:cs="宋体"/>
          <w:kern w:val="0"/>
          <w:szCs w:val="21"/>
        </w:rPr>
        <w:t>的某些内容可能涉及专利</w:t>
      </w:r>
      <w:r>
        <w:rPr>
          <w:rFonts w:ascii="宋体" w:eastAsia="宋体" w:hAnsi="宋体" w:cs="宋体" w:hint="eastAsia"/>
          <w:kern w:val="0"/>
          <w:szCs w:val="21"/>
        </w:rPr>
        <w:t>。</w:t>
      </w:r>
      <w:r>
        <w:rPr>
          <w:rFonts w:ascii="宋体" w:eastAsia="宋体" w:hAnsi="宋体" w:cs="宋体"/>
          <w:kern w:val="0"/>
          <w:szCs w:val="21"/>
        </w:rPr>
        <w:t>本文件的</w:t>
      </w:r>
      <w:r>
        <w:rPr>
          <w:rFonts w:ascii="宋体" w:eastAsia="宋体" w:hAnsi="宋体" w:cs="宋体" w:hint="eastAsia"/>
          <w:kern w:val="0"/>
          <w:szCs w:val="21"/>
        </w:rPr>
        <w:t>发布</w:t>
      </w:r>
      <w:r>
        <w:rPr>
          <w:rFonts w:ascii="宋体" w:eastAsia="宋体" w:hAnsi="宋体" w:cs="宋体"/>
          <w:kern w:val="0"/>
          <w:szCs w:val="21"/>
        </w:rPr>
        <w:t>机构不承担识别专利的责任。</w:t>
      </w:r>
    </w:p>
    <w:p w14:paraId="1AC8E355" w14:textId="77777777" w:rsidR="009D5D3B" w:rsidRDefault="00000000">
      <w:pPr>
        <w:snapToGrid w:val="0"/>
        <w:ind w:firstLineChars="200" w:firstLine="420"/>
        <w:rPr>
          <w:rFonts w:ascii="宋体" w:eastAsia="宋体" w:hAnsi="宋体" w:cs="宋体" w:hint="eastAsia"/>
          <w:kern w:val="0"/>
          <w:szCs w:val="21"/>
        </w:rPr>
      </w:pPr>
      <w:r>
        <w:rPr>
          <w:rFonts w:ascii="宋体" w:eastAsia="宋体" w:hAnsi="宋体" w:cs="宋体" w:hint="eastAsia"/>
          <w:kern w:val="0"/>
          <w:szCs w:val="21"/>
        </w:rPr>
        <w:t>本文件由</w:t>
      </w:r>
      <w:r>
        <w:rPr>
          <w:rFonts w:hint="eastAsia"/>
        </w:rPr>
        <w:t>苏州市市场监督管理局</w:t>
      </w:r>
      <w:r>
        <w:rPr>
          <w:rFonts w:ascii="宋体" w:eastAsia="宋体" w:hAnsi="宋体" w:cs="宋体" w:hint="eastAsia"/>
          <w:kern w:val="0"/>
          <w:szCs w:val="21"/>
        </w:rPr>
        <w:t>提出、归口并组织实施。</w:t>
      </w:r>
    </w:p>
    <w:p w14:paraId="27C60255" w14:textId="77777777" w:rsidR="009D5D3B" w:rsidRDefault="00000000">
      <w:pPr>
        <w:snapToGrid w:val="0"/>
        <w:ind w:firstLineChars="200" w:firstLine="420"/>
        <w:rPr>
          <w:rFonts w:ascii="宋体" w:eastAsia="宋体" w:hAnsi="宋体" w:cs="宋体" w:hint="eastAsia"/>
          <w:kern w:val="0"/>
          <w:szCs w:val="21"/>
        </w:rPr>
      </w:pPr>
      <w:r>
        <w:rPr>
          <w:rFonts w:ascii="宋体" w:eastAsia="宋体" w:hAnsi="宋体" w:cs="宋体" w:hint="eastAsia"/>
          <w:kern w:val="0"/>
          <w:szCs w:val="21"/>
        </w:rPr>
        <w:t>本文件起草单位：苏州大学苏州知识产权研究院、东吴证券股份有限公司、苏州市知识产权服务业商会、苏州高新区（虎丘区）知识产权协会、苏州苏大维格科技集团股份有限公司、苏州敏芯微电子技术股份有限公司、莱克电气股份有限公司、苏州瑞派宁科技有限公司、咖爷科技（苏州）有限公司、江苏简文律师事务所、苏州市吴江区智能制造协会、苏州高新区（虎丘区）智能制造产业协会、苏州市知识产权保护中心、江苏国际知识产权运营交易中心。</w:t>
      </w:r>
    </w:p>
    <w:p w14:paraId="7254312C" w14:textId="77777777" w:rsidR="009D5D3B" w:rsidRDefault="00000000">
      <w:pPr>
        <w:snapToGrid w:val="0"/>
        <w:ind w:firstLineChars="200" w:firstLine="420"/>
        <w:rPr>
          <w:rFonts w:ascii="宋体" w:eastAsia="宋体" w:hAnsi="宋体" w:cs="宋体" w:hint="eastAsia"/>
          <w:kern w:val="0"/>
          <w:szCs w:val="21"/>
        </w:rPr>
        <w:sectPr w:rsidR="009D5D3B">
          <w:headerReference w:type="even" r:id="rId14"/>
          <w:footerReference w:type="even" r:id="rId15"/>
          <w:footerReference w:type="default" r:id="rId16"/>
          <w:pgSz w:w="11906" w:h="16838"/>
          <w:pgMar w:top="1417" w:right="1134" w:bottom="1134" w:left="1418" w:header="1417" w:footer="1134" w:gutter="0"/>
          <w:pgNumType w:fmt="upperRoman" w:start="2"/>
          <w:cols w:space="425"/>
          <w:docGrid w:type="lines" w:linePitch="312"/>
        </w:sectPr>
      </w:pPr>
      <w:r>
        <w:rPr>
          <w:rFonts w:ascii="宋体" w:eastAsia="宋体" w:hAnsi="宋体" w:cs="宋体" w:hint="eastAsia"/>
          <w:kern w:val="0"/>
          <w:szCs w:val="21"/>
        </w:rPr>
        <w:t>本文件主要起草人：董寅、郭倩、郭晨、张永强、赵云龙、杨晓东、吴志敏、王侃、蒋策、王剑宇，金文、张有勇、马琴芳、许静、刘立乾、肖凤荣、郭猛、陆瑶、徐菁、毕速成、陈敏、李昕伟、王怡君、房淑薪。</w:t>
      </w:r>
    </w:p>
    <w:p w14:paraId="22EF4AF7" w14:textId="77777777" w:rsidR="009D5D3B" w:rsidRDefault="009D5D3B">
      <w:pPr>
        <w:pStyle w:val="ae"/>
        <w:sectPr w:rsidR="009D5D3B">
          <w:headerReference w:type="even" r:id="rId17"/>
          <w:headerReference w:type="default" r:id="rId18"/>
          <w:footerReference w:type="even" r:id="rId19"/>
          <w:footerReference w:type="default" r:id="rId20"/>
          <w:pgSz w:w="11906" w:h="16838"/>
          <w:pgMar w:top="1417" w:right="1134" w:bottom="1134" w:left="1418" w:header="1417" w:footer="1134" w:gutter="0"/>
          <w:pgNumType w:fmt="upperRoman"/>
          <w:cols w:space="425"/>
          <w:docGrid w:type="lines" w:linePitch="312"/>
        </w:sectPr>
      </w:pPr>
    </w:p>
    <w:p w14:paraId="511BA173" w14:textId="77777777" w:rsidR="009D5D3B" w:rsidRDefault="00000000">
      <w:pPr>
        <w:snapToGrid w:val="0"/>
        <w:spacing w:before="567" w:after="680"/>
        <w:jc w:val="center"/>
        <w:outlineLvl w:val="0"/>
        <w:rPr>
          <w:rFonts w:ascii="黑体" w:eastAsia="黑体" w:hAnsi="黑体" w:cs="黑体" w:hint="eastAsia"/>
          <w:kern w:val="0"/>
          <w:sz w:val="32"/>
          <w:szCs w:val="32"/>
        </w:rPr>
      </w:pPr>
      <w:bookmarkStart w:id="3" w:name="_Toc19470"/>
      <w:r>
        <w:rPr>
          <w:rFonts w:ascii="黑体" w:eastAsia="黑体" w:hAnsi="黑体" w:cs="黑体" w:hint="eastAsia"/>
          <w:kern w:val="0"/>
          <w:sz w:val="32"/>
          <w:szCs w:val="32"/>
        </w:rPr>
        <w:lastRenderedPageBreak/>
        <w:t>引  言</w:t>
      </w:r>
      <w:bookmarkEnd w:id="3"/>
    </w:p>
    <w:p w14:paraId="2C0D89B4" w14:textId="77777777" w:rsidR="009D5D3B" w:rsidRDefault="00000000">
      <w:pPr>
        <w:snapToGrid w:val="0"/>
        <w:ind w:firstLineChars="200" w:firstLine="420"/>
        <w:rPr>
          <w:rFonts w:ascii="宋体" w:eastAsia="宋体" w:hAnsi="宋体" w:cs="宋体" w:hint="eastAsia"/>
          <w:kern w:val="0"/>
          <w:szCs w:val="21"/>
        </w:rPr>
        <w:sectPr w:rsidR="009D5D3B">
          <w:headerReference w:type="even" r:id="rId21"/>
          <w:headerReference w:type="default" r:id="rId22"/>
          <w:footerReference w:type="even" r:id="rId23"/>
          <w:footerReference w:type="default" r:id="rId24"/>
          <w:pgSz w:w="11906" w:h="16838"/>
          <w:pgMar w:top="1417" w:right="1134" w:bottom="1134" w:left="1418" w:header="1417" w:footer="1134" w:gutter="0"/>
          <w:pgNumType w:fmt="upperRoman" w:start="3"/>
          <w:cols w:space="425"/>
          <w:docGrid w:type="lines" w:linePitch="312"/>
        </w:sectPr>
      </w:pPr>
      <w:r>
        <w:rPr>
          <w:rFonts w:ascii="宋体" w:eastAsia="宋体" w:hAnsi="宋体" w:cs="宋体" w:hint="eastAsia"/>
          <w:kern w:val="0"/>
          <w:szCs w:val="21"/>
        </w:rPr>
        <w:t>信息披露是企业申请科创板上市的法定义务。知识产权信息披露是科创板拟上市企业科创属性的体现，是投资者识别风险并作出价值判断和投资决策的基本依据。建立和完善企业科创板上市知识产权信息披露制度是企业进行知识产权风险自查、助力企业顺利上市的重要举措。本文件旨在提出适用于企业在科创板提出上市申请的知识产权信息披露标准，明确拟上市企业在科创板上市前开展知识产权信息披露的通用指标。</w:t>
      </w:r>
      <w:bookmarkStart w:id="4" w:name="SectionMark4"/>
    </w:p>
    <w:p w14:paraId="1E687876" w14:textId="77777777" w:rsidR="009D5D3B" w:rsidRDefault="009D5D3B">
      <w:pPr>
        <w:pStyle w:val="ae"/>
        <w:rPr>
          <w:rFonts w:ascii="宋体" w:eastAsia="宋体" w:hAnsi="宋体" w:cs="宋体" w:hint="eastAsia"/>
          <w:kern w:val="0"/>
          <w:szCs w:val="21"/>
        </w:rPr>
      </w:pPr>
    </w:p>
    <w:p w14:paraId="28E217F1" w14:textId="77777777" w:rsidR="009D5D3B" w:rsidRDefault="009D5D3B">
      <w:pPr>
        <w:pStyle w:val="ae"/>
        <w:rPr>
          <w:rFonts w:ascii="宋体" w:eastAsia="宋体" w:hAnsi="宋体" w:cs="宋体" w:hint="eastAsia"/>
          <w:kern w:val="0"/>
          <w:szCs w:val="21"/>
        </w:rPr>
        <w:sectPr w:rsidR="009D5D3B">
          <w:headerReference w:type="even" r:id="rId25"/>
          <w:headerReference w:type="default" r:id="rId26"/>
          <w:footerReference w:type="even" r:id="rId27"/>
          <w:footerReference w:type="default" r:id="rId28"/>
          <w:pgSz w:w="11906" w:h="16838"/>
          <w:pgMar w:top="1417" w:right="1134" w:bottom="1134" w:left="1418" w:header="1417" w:footer="1134" w:gutter="0"/>
          <w:pgNumType w:fmt="upperRoman"/>
          <w:cols w:space="425"/>
          <w:docGrid w:type="lines" w:linePitch="312"/>
        </w:sectPr>
      </w:pPr>
    </w:p>
    <w:p w14:paraId="04BD4090" w14:textId="77777777" w:rsidR="009D5D3B" w:rsidRDefault="00000000">
      <w:pPr>
        <w:widowControl/>
        <w:spacing w:before="567" w:after="680"/>
        <w:jc w:val="center"/>
        <w:rPr>
          <w:rFonts w:ascii="黑体" w:eastAsia="黑体" w:hAnsi="黑体" w:hint="eastAsia"/>
          <w:bCs/>
          <w:sz w:val="32"/>
          <w:szCs w:val="32"/>
        </w:rPr>
      </w:pPr>
      <w:r>
        <w:rPr>
          <w:rFonts w:ascii="黑体" w:eastAsia="黑体" w:hAnsi="宋体" w:hint="eastAsia"/>
          <w:sz w:val="32"/>
          <w:szCs w:val="32"/>
        </w:rPr>
        <w:lastRenderedPageBreak/>
        <w:t>企业科创板上市知识产权信息披露指南</w:t>
      </w:r>
    </w:p>
    <w:p w14:paraId="6B6276C7" w14:textId="77777777" w:rsidR="009D5D3B" w:rsidRDefault="00000000">
      <w:pPr>
        <w:pStyle w:val="a9"/>
        <w:spacing w:before="312" w:after="312"/>
      </w:pPr>
      <w:bookmarkStart w:id="5" w:name="_Toc40454690"/>
      <w:bookmarkStart w:id="6" w:name="_Toc48028397"/>
      <w:bookmarkStart w:id="7" w:name="_Toc67401897"/>
      <w:bookmarkStart w:id="8" w:name="_Toc67393169"/>
      <w:bookmarkStart w:id="9" w:name="_Toc115339701"/>
      <w:bookmarkStart w:id="10" w:name="_Toc66965087"/>
      <w:bookmarkStart w:id="11" w:name="_Toc21213"/>
      <w:bookmarkStart w:id="12" w:name="_Toc15741"/>
      <w:bookmarkStart w:id="13" w:name="_Toc51663569"/>
      <w:bookmarkStart w:id="14" w:name="_Toc47964512"/>
      <w:bookmarkStart w:id="15" w:name="_Toc48028304"/>
      <w:bookmarkStart w:id="16" w:name="_Toc47964470"/>
      <w:bookmarkStart w:id="17" w:name="_Toc47973431"/>
      <w:bookmarkStart w:id="18" w:name="_Toc10375"/>
      <w:bookmarkStart w:id="19" w:name="_Toc48569571"/>
      <w:bookmarkStart w:id="20" w:name="_Toc122448156"/>
      <w:bookmarkStart w:id="21" w:name="_Toc8927"/>
      <w:bookmarkStart w:id="22" w:name="_Toc47973642"/>
      <w:bookmarkStart w:id="23" w:name="_Toc46494722"/>
      <w:bookmarkStart w:id="24" w:name="_Toc48572088"/>
      <w:bookmarkStart w:id="25" w:name="_Toc30515"/>
      <w:bookmarkStart w:id="26" w:name="_Toc87811368"/>
      <w:bookmarkStart w:id="27" w:name="_Toc48049835"/>
      <w:bookmarkStart w:id="28" w:name="_Toc87811223"/>
      <w:bookmarkStart w:id="29" w:name="_Toc51147912"/>
      <w:bookmarkStart w:id="30" w:name="_Toc48050151"/>
      <w:bookmarkEnd w:id="4"/>
      <w:r>
        <w:rPr>
          <w:rFonts w:hint="eastAsia"/>
        </w:rPr>
        <w:t>范围</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B739F6A" w14:textId="77777777" w:rsidR="009D5D3B" w:rsidRDefault="00000000">
      <w:pPr>
        <w:pStyle w:val="affc"/>
      </w:pPr>
      <w:r>
        <w:rPr>
          <w:rFonts w:hint="eastAsia"/>
        </w:rPr>
        <w:t>本文件提供了企业科创板上市知识产权信息披露的总体原则、技术性要素、披露程序、披露重点等方面的指导。</w:t>
      </w:r>
    </w:p>
    <w:p w14:paraId="5DB7675E" w14:textId="77777777" w:rsidR="009D5D3B" w:rsidRDefault="00000000">
      <w:pPr>
        <w:pStyle w:val="affc"/>
      </w:pPr>
      <w:r>
        <w:rPr>
          <w:rFonts w:hint="eastAsia"/>
        </w:rPr>
        <w:t>本文件适用于指导拟在科创板上市的企业在上市前开展知识产权信息披露工作。</w:t>
      </w:r>
    </w:p>
    <w:p w14:paraId="60057463" w14:textId="77777777" w:rsidR="009D5D3B" w:rsidRDefault="00000000">
      <w:pPr>
        <w:pStyle w:val="a9"/>
        <w:spacing w:before="312" w:after="312"/>
      </w:pPr>
      <w:bookmarkStart w:id="31" w:name="_Toc115339702"/>
      <w:bookmarkStart w:id="32" w:name="_Toc48049836"/>
      <w:bookmarkStart w:id="33" w:name="_Toc27351"/>
      <w:bookmarkStart w:id="34" w:name="_Toc51147913"/>
      <w:bookmarkStart w:id="35" w:name="_Toc122448157"/>
      <w:bookmarkStart w:id="36" w:name="_Toc67401898"/>
      <w:bookmarkStart w:id="37" w:name="_Toc5397"/>
      <w:bookmarkStart w:id="38" w:name="_Toc47973643"/>
      <w:bookmarkStart w:id="39" w:name="_Toc48028398"/>
      <w:bookmarkStart w:id="40" w:name="_Toc27904"/>
      <w:bookmarkStart w:id="41" w:name="_Toc46494723"/>
      <w:bookmarkStart w:id="42" w:name="_Toc48028305"/>
      <w:bookmarkStart w:id="43" w:name="_Toc40454691"/>
      <w:bookmarkStart w:id="44" w:name="_Toc48050152"/>
      <w:bookmarkStart w:id="45" w:name="_Toc47964471"/>
      <w:bookmarkStart w:id="46" w:name="_Toc87811369"/>
      <w:bookmarkStart w:id="47" w:name="_Toc66965088"/>
      <w:bookmarkStart w:id="48" w:name="_Toc48572089"/>
      <w:bookmarkStart w:id="49" w:name="_Toc48569572"/>
      <w:bookmarkStart w:id="50" w:name="_Toc29099"/>
      <w:bookmarkStart w:id="51" w:name="_Toc67393170"/>
      <w:bookmarkStart w:id="52" w:name="_Toc47973432"/>
      <w:bookmarkStart w:id="53" w:name="_Toc11294"/>
      <w:bookmarkStart w:id="54" w:name="_Toc47964513"/>
      <w:bookmarkStart w:id="55" w:name="_Toc51663570"/>
      <w:bookmarkStart w:id="56" w:name="_Toc87811224"/>
      <w:r>
        <w:rPr>
          <w:rFonts w:hint="eastAsia"/>
        </w:rPr>
        <w:t>规范性引用文件</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C4EE1BD" w14:textId="77777777" w:rsidR="009D5D3B" w:rsidRDefault="00000000">
      <w:pPr>
        <w:pStyle w:val="affc"/>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936FF75" w14:textId="77777777" w:rsidR="009D5D3B" w:rsidRDefault="00000000">
      <w:pPr>
        <w:pStyle w:val="affc"/>
      </w:pPr>
      <w:r>
        <w:rPr>
          <w:rFonts w:hint="eastAsia"/>
        </w:rPr>
        <w:t>GB/T 29490  企业知识产权合规管理体系 要求</w:t>
      </w:r>
    </w:p>
    <w:p w14:paraId="1DF2DF48" w14:textId="77777777" w:rsidR="009D5D3B" w:rsidRDefault="00000000">
      <w:pPr>
        <w:pStyle w:val="a9"/>
        <w:spacing w:before="312" w:after="312"/>
        <w:rPr>
          <w:szCs w:val="21"/>
        </w:rPr>
      </w:pPr>
      <w:bookmarkStart w:id="57" w:name="_Toc115339703"/>
      <w:bookmarkStart w:id="58" w:name="_Toc87811225"/>
      <w:bookmarkStart w:id="59" w:name="_Toc67393171"/>
      <w:bookmarkStart w:id="60" w:name="_Toc67401899"/>
      <w:bookmarkStart w:id="61" w:name="_Toc122448158"/>
      <w:bookmarkStart w:id="62" w:name="_Toc26169"/>
      <w:bookmarkStart w:id="63" w:name="_Toc87811370"/>
      <w:r>
        <w:rPr>
          <w:rFonts w:hint="eastAsia"/>
          <w:szCs w:val="21"/>
        </w:rPr>
        <w:t>术语和定义</w:t>
      </w:r>
      <w:bookmarkEnd w:id="57"/>
      <w:bookmarkEnd w:id="58"/>
      <w:bookmarkEnd w:id="59"/>
      <w:bookmarkEnd w:id="60"/>
      <w:bookmarkEnd w:id="61"/>
      <w:bookmarkEnd w:id="62"/>
      <w:bookmarkEnd w:id="63"/>
    </w:p>
    <w:p w14:paraId="096C9457" w14:textId="77777777" w:rsidR="009D5D3B" w:rsidRDefault="00000000">
      <w:pPr>
        <w:pStyle w:val="affc"/>
      </w:pPr>
      <w:r>
        <w:rPr>
          <w:rFonts w:hint="eastAsia"/>
        </w:rPr>
        <w:t>下列术语和定义适用于本文件。</w:t>
      </w:r>
    </w:p>
    <w:p w14:paraId="25839683" w14:textId="77777777" w:rsidR="009D5D3B" w:rsidRDefault="009D5D3B">
      <w:pPr>
        <w:pStyle w:val="afff0"/>
        <w:ind w:left="420" w:hangingChars="200" w:hanging="420"/>
        <w:rPr>
          <w:rFonts w:ascii="黑体" w:eastAsia="黑体" w:hAnsi="黑体" w:hint="eastAsia"/>
        </w:rPr>
      </w:pPr>
    </w:p>
    <w:p w14:paraId="4431EF50" w14:textId="77777777" w:rsidR="009D5D3B" w:rsidRDefault="00000000">
      <w:pPr>
        <w:pStyle w:val="afff0"/>
        <w:numPr>
          <w:ilvl w:val="0"/>
          <w:numId w:val="0"/>
        </w:numPr>
        <w:ind w:left="420"/>
        <w:rPr>
          <w:rFonts w:ascii="黑体" w:eastAsia="黑体" w:hAnsi="黑体" w:hint="eastAsia"/>
        </w:rPr>
      </w:pPr>
      <w:r>
        <w:rPr>
          <w:rFonts w:ascii="黑体" w:eastAsia="黑体" w:hAnsi="黑体" w:hint="eastAsia"/>
        </w:rPr>
        <w:t>科创板上市  listing on the science and technology innovation board</w:t>
      </w:r>
    </w:p>
    <w:p w14:paraId="4AB6B417" w14:textId="77777777" w:rsidR="009D5D3B" w:rsidRDefault="00000000">
      <w:pPr>
        <w:pStyle w:val="affc"/>
      </w:pPr>
      <w:r>
        <w:rPr>
          <w:rFonts w:hint="eastAsia"/>
        </w:rPr>
        <w:t>企业</w:t>
      </w:r>
      <w:r>
        <w:rPr>
          <w:rFonts w:hint="eastAsia"/>
          <w:lang w:val="zh-CN"/>
        </w:rPr>
        <w:t>在中华人民共和国境内首次公开发行</w:t>
      </w:r>
      <w:r>
        <w:rPr>
          <w:rFonts w:hint="eastAsia"/>
        </w:rPr>
        <w:t>股票</w:t>
      </w:r>
      <w:r>
        <w:rPr>
          <w:rFonts w:hint="eastAsia"/>
          <w:lang w:val="zh-CN"/>
        </w:rPr>
        <w:t>并在上海证券交易所</w:t>
      </w:r>
      <w:r>
        <w:rPr>
          <w:rFonts w:hint="eastAsia"/>
        </w:rPr>
        <w:t>（以下简称“上交所”）科创板发行注册。</w:t>
      </w:r>
    </w:p>
    <w:p w14:paraId="5E27C300" w14:textId="77777777" w:rsidR="009D5D3B" w:rsidRDefault="009D5D3B">
      <w:pPr>
        <w:pStyle w:val="afff2"/>
        <w:ind w:firstLine="420"/>
      </w:pPr>
    </w:p>
    <w:p w14:paraId="3670BF60" w14:textId="77777777" w:rsidR="009D5D3B" w:rsidRDefault="009D5D3B">
      <w:pPr>
        <w:pStyle w:val="afff0"/>
        <w:ind w:left="420" w:hangingChars="200" w:hanging="420"/>
        <w:rPr>
          <w:rFonts w:ascii="黑体" w:eastAsia="黑体" w:hAnsi="黑体" w:hint="eastAsia"/>
        </w:rPr>
      </w:pPr>
    </w:p>
    <w:p w14:paraId="1E6AA0B1" w14:textId="77777777" w:rsidR="009D5D3B" w:rsidRDefault="00000000">
      <w:pPr>
        <w:pStyle w:val="afff0"/>
        <w:numPr>
          <w:ilvl w:val="0"/>
          <w:numId w:val="0"/>
        </w:numPr>
        <w:ind w:left="420"/>
        <w:rPr>
          <w:rFonts w:ascii="黑体" w:eastAsia="黑体" w:hAnsi="黑体" w:hint="eastAsia"/>
        </w:rPr>
      </w:pPr>
      <w:r>
        <w:rPr>
          <w:rFonts w:ascii="黑体" w:eastAsia="黑体" w:hAnsi="黑体" w:hint="eastAsia"/>
        </w:rPr>
        <w:t>知识产权  intellectual property</w:t>
      </w:r>
    </w:p>
    <w:p w14:paraId="7BA35F78" w14:textId="77777777" w:rsidR="009D5D3B" w:rsidRDefault="00000000">
      <w:pPr>
        <w:pStyle w:val="affc"/>
      </w:pPr>
      <w:r>
        <w:rPr>
          <w:rFonts w:hint="eastAsia"/>
        </w:rPr>
        <w:t>权利人依法就下列客体享有的专有的权利：</w:t>
      </w:r>
    </w:p>
    <w:p w14:paraId="45926F23" w14:textId="77777777" w:rsidR="009D5D3B" w:rsidRDefault="00000000">
      <w:pPr>
        <w:pStyle w:val="affc"/>
      </w:pPr>
      <w:r>
        <w:rPr>
          <w:rFonts w:ascii="黑体" w:eastAsia="黑体" w:hAnsi="黑体" w:cs="黑体" w:hint="eastAsia"/>
        </w:rPr>
        <w:t>——</w:t>
      </w:r>
      <w:r>
        <w:rPr>
          <w:rFonts w:hint="eastAsia"/>
        </w:rPr>
        <w:t>作品；</w:t>
      </w:r>
    </w:p>
    <w:p w14:paraId="1DBE64F6" w14:textId="77777777" w:rsidR="009D5D3B" w:rsidRDefault="00000000">
      <w:pPr>
        <w:pStyle w:val="affc"/>
      </w:pPr>
      <w:r>
        <w:rPr>
          <w:rFonts w:ascii="黑体" w:eastAsia="黑体" w:hAnsi="黑体" w:cs="黑体" w:hint="eastAsia"/>
        </w:rPr>
        <w:t>——</w:t>
      </w:r>
      <w:r>
        <w:rPr>
          <w:rFonts w:hint="eastAsia"/>
        </w:rPr>
        <w:t>发明、实用新型、外观设计；</w:t>
      </w:r>
    </w:p>
    <w:p w14:paraId="2C3403A4" w14:textId="77777777" w:rsidR="009D5D3B" w:rsidRDefault="00000000">
      <w:pPr>
        <w:pStyle w:val="affc"/>
      </w:pPr>
      <w:r>
        <w:rPr>
          <w:rFonts w:ascii="黑体" w:eastAsia="黑体" w:hAnsi="黑体" w:cs="黑体" w:hint="eastAsia"/>
        </w:rPr>
        <w:t>——</w:t>
      </w:r>
      <w:r>
        <w:rPr>
          <w:rFonts w:hint="eastAsia"/>
        </w:rPr>
        <w:t>商标；</w:t>
      </w:r>
    </w:p>
    <w:p w14:paraId="627C6EFC" w14:textId="77777777" w:rsidR="009D5D3B" w:rsidRDefault="00000000">
      <w:pPr>
        <w:pStyle w:val="affc"/>
      </w:pPr>
      <w:r>
        <w:rPr>
          <w:rFonts w:ascii="黑体" w:eastAsia="黑体" w:hAnsi="黑体" w:cs="黑体" w:hint="eastAsia"/>
        </w:rPr>
        <w:t>——</w:t>
      </w:r>
      <w:r>
        <w:rPr>
          <w:rFonts w:hint="eastAsia"/>
        </w:rPr>
        <w:t>地理标志；</w:t>
      </w:r>
    </w:p>
    <w:p w14:paraId="5ABAB387" w14:textId="77777777" w:rsidR="009D5D3B" w:rsidRDefault="00000000">
      <w:pPr>
        <w:pStyle w:val="affc"/>
      </w:pPr>
      <w:r>
        <w:rPr>
          <w:rFonts w:ascii="黑体" w:eastAsia="黑体" w:hAnsi="黑体" w:cs="黑体" w:hint="eastAsia"/>
        </w:rPr>
        <w:t>——</w:t>
      </w:r>
      <w:r>
        <w:rPr>
          <w:rFonts w:hint="eastAsia"/>
        </w:rPr>
        <w:t>商业秘密；</w:t>
      </w:r>
    </w:p>
    <w:p w14:paraId="47863728" w14:textId="77777777" w:rsidR="009D5D3B" w:rsidRDefault="00000000">
      <w:pPr>
        <w:pStyle w:val="affc"/>
      </w:pPr>
      <w:r>
        <w:rPr>
          <w:rFonts w:ascii="黑体" w:eastAsia="黑体" w:hAnsi="黑体" w:cs="黑体" w:hint="eastAsia"/>
        </w:rPr>
        <w:t>——</w:t>
      </w:r>
      <w:r>
        <w:rPr>
          <w:rFonts w:hint="eastAsia"/>
        </w:rPr>
        <w:t>集成电路布图设计；</w:t>
      </w:r>
    </w:p>
    <w:p w14:paraId="02FECFB4" w14:textId="77777777" w:rsidR="009D5D3B" w:rsidRDefault="00000000">
      <w:pPr>
        <w:pStyle w:val="affc"/>
      </w:pPr>
      <w:r>
        <w:rPr>
          <w:rFonts w:ascii="黑体" w:eastAsia="黑体" w:hAnsi="黑体" w:cs="黑体" w:hint="eastAsia"/>
        </w:rPr>
        <w:t>——</w:t>
      </w:r>
      <w:r>
        <w:rPr>
          <w:rFonts w:hint="eastAsia"/>
        </w:rPr>
        <w:t>植物新品种；</w:t>
      </w:r>
    </w:p>
    <w:p w14:paraId="0472DB86" w14:textId="77777777" w:rsidR="009D5D3B" w:rsidRDefault="00000000">
      <w:pPr>
        <w:pStyle w:val="affc"/>
      </w:pPr>
      <w:r>
        <w:rPr>
          <w:rFonts w:ascii="黑体" w:eastAsia="黑体" w:hAnsi="黑体" w:cs="黑体" w:hint="eastAsia"/>
        </w:rPr>
        <w:t>——</w:t>
      </w:r>
      <w:r>
        <w:rPr>
          <w:rFonts w:hint="eastAsia"/>
        </w:rPr>
        <w:t>法律规定的其他客体。</w:t>
      </w:r>
    </w:p>
    <w:p w14:paraId="455C60D3" w14:textId="77777777" w:rsidR="009D5D3B" w:rsidRDefault="00000000">
      <w:pPr>
        <w:pStyle w:val="affc"/>
      </w:pPr>
      <w:r>
        <w:rPr>
          <w:rFonts w:hint="eastAsia"/>
        </w:rPr>
        <w:t>[来源：GB/T 29490-2023，3.1]</w:t>
      </w:r>
    </w:p>
    <w:p w14:paraId="03FB5185" w14:textId="77777777" w:rsidR="009D5D3B" w:rsidRDefault="009D5D3B">
      <w:pPr>
        <w:pStyle w:val="afff0"/>
        <w:ind w:left="420" w:hangingChars="200" w:hanging="420"/>
        <w:rPr>
          <w:rFonts w:ascii="黑体" w:eastAsia="黑体" w:hAnsi="黑体" w:hint="eastAsia"/>
        </w:rPr>
      </w:pPr>
      <w:bookmarkStart w:id="64" w:name="_Toc87811226"/>
      <w:bookmarkStart w:id="65" w:name="_Toc502157201"/>
      <w:bookmarkStart w:id="66" w:name="_Toc500955126"/>
      <w:bookmarkStart w:id="67" w:name="_Toc500938708"/>
      <w:bookmarkStart w:id="68" w:name="_Toc67401900"/>
      <w:bookmarkStart w:id="69" w:name="_Toc87811371"/>
      <w:bookmarkStart w:id="70" w:name="_Toc67393172"/>
      <w:bookmarkEnd w:id="64"/>
      <w:bookmarkEnd w:id="65"/>
      <w:bookmarkEnd w:id="66"/>
      <w:bookmarkEnd w:id="67"/>
      <w:bookmarkEnd w:id="68"/>
      <w:bookmarkEnd w:id="69"/>
      <w:bookmarkEnd w:id="70"/>
    </w:p>
    <w:p w14:paraId="5B72FB76" w14:textId="77777777" w:rsidR="009D5D3B" w:rsidRDefault="00000000">
      <w:pPr>
        <w:pStyle w:val="afff0"/>
        <w:numPr>
          <w:ilvl w:val="0"/>
          <w:numId w:val="0"/>
        </w:numPr>
        <w:ind w:left="420"/>
        <w:rPr>
          <w:rFonts w:ascii="黑体" w:eastAsia="黑体" w:hAnsi="黑体" w:hint="eastAsia"/>
        </w:rPr>
      </w:pPr>
      <w:r>
        <w:rPr>
          <w:rFonts w:ascii="黑体" w:eastAsia="黑体" w:hAnsi="黑体" w:hint="eastAsia"/>
        </w:rPr>
        <w:t>信息披露  information disclosure</w:t>
      </w:r>
    </w:p>
    <w:p w14:paraId="6525B4C8" w14:textId="77777777" w:rsidR="009D5D3B" w:rsidRDefault="00000000">
      <w:pPr>
        <w:pStyle w:val="affc"/>
      </w:pPr>
      <w:r>
        <w:rPr>
          <w:rFonts w:hint="eastAsia"/>
        </w:rPr>
        <w:t>企业首次公开发行股票、将其股票在证券交易场所交易，按照法律规定必须公开披露其有关信息。</w:t>
      </w:r>
    </w:p>
    <w:p w14:paraId="72955177" w14:textId="77777777" w:rsidR="009D5D3B" w:rsidRDefault="009D5D3B">
      <w:pPr>
        <w:pStyle w:val="affc"/>
      </w:pPr>
    </w:p>
    <w:p w14:paraId="65634940" w14:textId="77777777" w:rsidR="009D5D3B" w:rsidRDefault="009D5D3B">
      <w:pPr>
        <w:pStyle w:val="afff0"/>
        <w:ind w:left="420" w:hangingChars="200" w:hanging="420"/>
        <w:rPr>
          <w:rFonts w:ascii="黑体" w:eastAsia="黑体" w:hAnsi="黑体" w:hint="eastAsia"/>
        </w:rPr>
      </w:pPr>
    </w:p>
    <w:p w14:paraId="2CFE0261" w14:textId="77777777" w:rsidR="009D5D3B" w:rsidRDefault="00000000">
      <w:pPr>
        <w:pStyle w:val="afff0"/>
        <w:numPr>
          <w:ilvl w:val="0"/>
          <w:numId w:val="0"/>
        </w:numPr>
        <w:ind w:left="420"/>
        <w:rPr>
          <w:rFonts w:ascii="黑体" w:eastAsia="黑体" w:hAnsi="黑体" w:hint="eastAsia"/>
        </w:rPr>
      </w:pPr>
      <w:r>
        <w:rPr>
          <w:rFonts w:ascii="黑体" w:eastAsia="黑体" w:hAnsi="黑体" w:hint="eastAsia"/>
        </w:rPr>
        <w:t>报告期  report period</w:t>
      </w:r>
    </w:p>
    <w:p w14:paraId="27AE0CD2" w14:textId="77777777" w:rsidR="009D5D3B" w:rsidRDefault="00000000">
      <w:pPr>
        <w:pStyle w:val="affc"/>
      </w:pPr>
      <w:r>
        <w:rPr>
          <w:rFonts w:hint="eastAsia"/>
        </w:rPr>
        <w:t>企业知识产权信息核算的起止时间。</w:t>
      </w:r>
    </w:p>
    <w:p w14:paraId="5B2E9600" w14:textId="77777777" w:rsidR="009D5D3B" w:rsidRDefault="009D5D3B">
      <w:pPr>
        <w:pStyle w:val="afff0"/>
        <w:ind w:left="420" w:hangingChars="200" w:hanging="420"/>
        <w:rPr>
          <w:rFonts w:ascii="黑体" w:eastAsia="黑体" w:hAnsi="黑体" w:hint="eastAsia"/>
        </w:rPr>
      </w:pPr>
    </w:p>
    <w:p w14:paraId="253D634E" w14:textId="77777777" w:rsidR="009D5D3B" w:rsidRDefault="00000000">
      <w:pPr>
        <w:pStyle w:val="afff0"/>
        <w:numPr>
          <w:ilvl w:val="0"/>
          <w:numId w:val="0"/>
        </w:numPr>
        <w:ind w:left="420"/>
        <w:rPr>
          <w:rFonts w:ascii="黑体" w:eastAsia="黑体" w:hAnsi="黑体" w:hint="eastAsia"/>
        </w:rPr>
      </w:pPr>
      <w:r>
        <w:rPr>
          <w:rFonts w:ascii="黑体" w:eastAsia="黑体" w:hAnsi="黑体" w:hint="eastAsia"/>
        </w:rPr>
        <w:t>招股说明书  prospectus</w:t>
      </w:r>
    </w:p>
    <w:p w14:paraId="3F1770FE" w14:textId="77777777" w:rsidR="009D5D3B" w:rsidRDefault="00000000">
      <w:pPr>
        <w:pStyle w:val="affc"/>
      </w:pPr>
      <w:r>
        <w:rPr>
          <w:rFonts w:hint="eastAsia"/>
        </w:rPr>
        <w:t>注册制下股票首次公开发行信息披露的主要载体，是企业首次公开发行股票并上市的必备法律文件。</w:t>
      </w:r>
    </w:p>
    <w:p w14:paraId="015688F5" w14:textId="77777777" w:rsidR="009D5D3B" w:rsidRDefault="00000000">
      <w:pPr>
        <w:pStyle w:val="a9"/>
        <w:spacing w:before="312" w:after="312"/>
        <w:rPr>
          <w:szCs w:val="21"/>
        </w:rPr>
      </w:pPr>
      <w:bookmarkStart w:id="71" w:name="_Toc31122"/>
      <w:bookmarkStart w:id="72" w:name="_Toc500938711"/>
      <w:bookmarkStart w:id="73" w:name="_Toc67393179"/>
      <w:bookmarkStart w:id="74" w:name="_Toc502157208"/>
      <w:bookmarkStart w:id="75" w:name="_Toc500955133"/>
      <w:r>
        <w:rPr>
          <w:rFonts w:hint="eastAsia"/>
          <w:szCs w:val="21"/>
        </w:rPr>
        <w:t>总体原则</w:t>
      </w:r>
      <w:bookmarkEnd w:id="71"/>
    </w:p>
    <w:p w14:paraId="6FD0D9D2" w14:textId="77777777" w:rsidR="009D5D3B" w:rsidRDefault="00000000">
      <w:pPr>
        <w:ind w:firstLineChars="200" w:firstLine="420"/>
        <w:rPr>
          <w:rFonts w:ascii="Times New Roman" w:hAnsi="Times New Roman"/>
        </w:rPr>
      </w:pPr>
      <w:r>
        <w:rPr>
          <w:rFonts w:ascii="Times New Roman" w:hAnsi="Times New Roman" w:hint="eastAsia"/>
        </w:rPr>
        <w:t>企业科创板上市知识产权信息披露应当真实、准确、完整，简明清晰、通俗易懂，不得有虚假记载、误导性陈述或者重大遗漏。</w:t>
      </w:r>
    </w:p>
    <w:p w14:paraId="3A413DAF" w14:textId="77777777" w:rsidR="009D5D3B" w:rsidRDefault="00000000">
      <w:pPr>
        <w:pStyle w:val="a9"/>
        <w:spacing w:before="312" w:after="312"/>
        <w:rPr>
          <w:szCs w:val="22"/>
        </w:rPr>
      </w:pPr>
      <w:bookmarkStart w:id="76" w:name="_Toc28919"/>
      <w:bookmarkStart w:id="77" w:name="_Toc21327"/>
      <w:r>
        <w:rPr>
          <w:rFonts w:hint="eastAsia"/>
          <w:szCs w:val="21"/>
        </w:rPr>
        <w:t>技术性要素</w:t>
      </w:r>
      <w:bookmarkEnd w:id="76"/>
    </w:p>
    <w:p w14:paraId="73E83345" w14:textId="77777777" w:rsidR="009D5D3B" w:rsidRDefault="00000000">
      <w:pPr>
        <w:pStyle w:val="aa"/>
        <w:spacing w:before="156" w:after="156"/>
      </w:pPr>
      <w:bookmarkStart w:id="78" w:name="_Toc21290"/>
      <w:r>
        <w:rPr>
          <w:rFonts w:hint="eastAsia"/>
        </w:rPr>
        <w:t>信息披露文件</w:t>
      </w:r>
      <w:bookmarkEnd w:id="77"/>
      <w:bookmarkEnd w:id="78"/>
    </w:p>
    <w:p w14:paraId="2E03CFF5" w14:textId="77777777" w:rsidR="009D5D3B" w:rsidRDefault="00000000">
      <w:pPr>
        <w:ind w:firstLine="420"/>
        <w:rPr>
          <w:lang w:val="zh-CN"/>
        </w:rPr>
      </w:pPr>
      <w:r>
        <w:rPr>
          <w:rFonts w:hint="eastAsia"/>
        </w:rPr>
        <w:t>企业申请科创板上市，应当按照中</w:t>
      </w:r>
      <w:r>
        <w:rPr>
          <w:lang w:val="zh-CN"/>
        </w:rPr>
        <w:t>国证券监督管理委员会</w:t>
      </w:r>
      <w:r>
        <w:rPr>
          <w:rFonts w:hint="eastAsia"/>
          <w:lang w:val="zh-CN"/>
        </w:rPr>
        <w:t>（</w:t>
      </w:r>
      <w:r>
        <w:rPr>
          <w:rFonts w:hint="eastAsia"/>
        </w:rPr>
        <w:t>以下简称“证监会”</w:t>
      </w:r>
      <w:r>
        <w:rPr>
          <w:rFonts w:hint="eastAsia"/>
          <w:lang w:val="zh-CN"/>
        </w:rPr>
        <w:t>）</w:t>
      </w:r>
      <w:r>
        <w:rPr>
          <w:rFonts w:hint="eastAsia"/>
        </w:rPr>
        <w:t>制定的信息披露规则、上交所制定的信息披露细则或指引的规定，编制招股说明书。</w:t>
      </w:r>
    </w:p>
    <w:p w14:paraId="634DC770" w14:textId="77777777" w:rsidR="009D5D3B" w:rsidRDefault="00000000">
      <w:pPr>
        <w:pStyle w:val="aa"/>
        <w:spacing w:before="156" w:after="156"/>
      </w:pPr>
      <w:bookmarkStart w:id="79" w:name="_Toc13565"/>
      <w:bookmarkStart w:id="80" w:name="_Toc32091"/>
      <w:r>
        <w:rPr>
          <w:rFonts w:hint="eastAsia"/>
        </w:rPr>
        <w:t>签字、盖章</w:t>
      </w:r>
      <w:bookmarkEnd w:id="79"/>
      <w:bookmarkEnd w:id="80"/>
    </w:p>
    <w:p w14:paraId="39E900EF" w14:textId="77777777" w:rsidR="009D5D3B" w:rsidRDefault="00000000">
      <w:pPr>
        <w:ind w:firstLine="420"/>
      </w:pPr>
      <w:r>
        <w:rPr>
          <w:rFonts w:hint="eastAsia"/>
        </w:rPr>
        <w:t>企业及其董事、监事、高级管理人员，企业控股股东、实际控制人，保荐人及其保荐代表人，为证券发行出具专项文件的律师、注册会计师、资产评估人员以及其所在机构，应当在招股说明书上签字、盖章。</w:t>
      </w:r>
    </w:p>
    <w:p w14:paraId="3AD5A438" w14:textId="77777777" w:rsidR="009D5D3B" w:rsidRDefault="00000000">
      <w:pPr>
        <w:pStyle w:val="aa"/>
        <w:spacing w:before="156" w:after="156"/>
      </w:pPr>
      <w:bookmarkStart w:id="81" w:name="_Toc2869"/>
      <w:bookmarkStart w:id="82" w:name="_Toc20120"/>
      <w:r>
        <w:rPr>
          <w:rFonts w:hint="eastAsia"/>
        </w:rPr>
        <w:t>有效期</w:t>
      </w:r>
      <w:bookmarkEnd w:id="81"/>
      <w:bookmarkEnd w:id="82"/>
    </w:p>
    <w:p w14:paraId="3109D88E" w14:textId="77777777" w:rsidR="009D5D3B" w:rsidRDefault="00000000">
      <w:pPr>
        <w:ind w:firstLine="420"/>
      </w:pPr>
      <w:r>
        <w:rPr>
          <w:rFonts w:hint="eastAsia"/>
        </w:rPr>
        <w:t>招股说明书的有效期为六个月，自公开发行前最后一次签署之日起算。企业应当使用有效期内的招股说明书完成发行。企业科创板上市前，应当及时更新信息披露文件内容，知识产权信息已过有效期的，企业应当修订及补充。</w:t>
      </w:r>
    </w:p>
    <w:p w14:paraId="61C57BC0" w14:textId="77777777" w:rsidR="009D5D3B" w:rsidRDefault="00000000">
      <w:pPr>
        <w:pStyle w:val="a9"/>
        <w:spacing w:before="312" w:after="312"/>
        <w:rPr>
          <w:szCs w:val="22"/>
        </w:rPr>
      </w:pPr>
      <w:bookmarkStart w:id="83" w:name="_Toc25828"/>
      <w:r>
        <w:rPr>
          <w:rFonts w:hint="eastAsia"/>
          <w:szCs w:val="21"/>
        </w:rPr>
        <w:t>披露程序</w:t>
      </w:r>
      <w:bookmarkStart w:id="84" w:name="_Toc13298"/>
      <w:bookmarkEnd w:id="83"/>
    </w:p>
    <w:p w14:paraId="70296F7B" w14:textId="77777777" w:rsidR="009D5D3B" w:rsidRDefault="00000000">
      <w:pPr>
        <w:pStyle w:val="aa"/>
        <w:spacing w:before="156" w:after="156"/>
      </w:pPr>
      <w:bookmarkStart w:id="85" w:name="_Toc22444"/>
      <w:r>
        <w:rPr>
          <w:rFonts w:hint="eastAsia"/>
        </w:rPr>
        <w:t>团队建设</w:t>
      </w:r>
      <w:bookmarkEnd w:id="84"/>
      <w:bookmarkEnd w:id="85"/>
    </w:p>
    <w:p w14:paraId="00A6AFC2" w14:textId="77777777" w:rsidR="009D5D3B" w:rsidRDefault="00000000">
      <w:pPr>
        <w:pStyle w:val="afff3"/>
        <w:spacing w:beforeLines="50" w:before="156" w:afterLines="50" w:after="156"/>
        <w:rPr>
          <w:rFonts w:ascii="黑体" w:eastAsia="黑体" w:hAnsi="黑体" w:cs="黑体" w:hint="eastAsia"/>
        </w:rPr>
      </w:pPr>
      <w:r>
        <w:rPr>
          <w:rFonts w:ascii="黑体" w:eastAsia="黑体" w:hAnsi="黑体" w:cs="黑体" w:hint="eastAsia"/>
        </w:rPr>
        <w:t>工作团队</w:t>
      </w:r>
    </w:p>
    <w:p w14:paraId="15B15283" w14:textId="77777777" w:rsidR="009D5D3B" w:rsidRDefault="00000000">
      <w:pPr>
        <w:ind w:firstLine="420"/>
      </w:pPr>
      <w:r>
        <w:rPr>
          <w:rFonts w:hint="eastAsia"/>
        </w:rPr>
        <w:t>企业宜组建专门工作团队负责科创板上市知识产权信息披露工作：</w:t>
      </w:r>
    </w:p>
    <w:p w14:paraId="4EB7256F" w14:textId="77777777" w:rsidR="009D5D3B" w:rsidRDefault="00000000">
      <w:pPr>
        <w:pStyle w:val="a0"/>
        <w:numPr>
          <w:ilvl w:val="0"/>
          <w:numId w:val="0"/>
        </w:numPr>
        <w:ind w:left="420"/>
      </w:pPr>
      <w:r>
        <w:rPr>
          <w:rFonts w:ascii="黑体" w:eastAsia="黑体" w:hAnsi="黑体" w:cs="黑体" w:hint="eastAsia"/>
        </w:rPr>
        <w:t>——</w:t>
      </w:r>
      <w:r>
        <w:rPr>
          <w:rFonts w:hint="eastAsia"/>
        </w:rPr>
        <w:t>最高管理者是企业的第一责任人，应全面负责科创板上市知识产权信息披露工作；</w:t>
      </w:r>
    </w:p>
    <w:p w14:paraId="6324015B" w14:textId="77777777" w:rsidR="009D5D3B" w:rsidRDefault="00000000" w:rsidP="003866C3">
      <w:pPr>
        <w:pStyle w:val="a0"/>
        <w:numPr>
          <w:ilvl w:val="0"/>
          <w:numId w:val="0"/>
        </w:numPr>
        <w:ind w:leftChars="202" w:left="850" w:hangingChars="203" w:hanging="426"/>
      </w:pPr>
      <w:r>
        <w:rPr>
          <w:rFonts w:ascii="黑体" w:eastAsia="黑体" w:hAnsi="黑体" w:cs="黑体" w:hint="eastAsia"/>
        </w:rPr>
        <w:t>——</w:t>
      </w:r>
      <w:r>
        <w:rPr>
          <w:rFonts w:hint="eastAsia"/>
        </w:rPr>
        <w:t>董事会秘书是企业上市信息披露事务部门的负责人，应具体负责科创板上市知识产权信息披露工作；</w:t>
      </w:r>
    </w:p>
    <w:p w14:paraId="7754E31C" w14:textId="77777777" w:rsidR="009D5D3B" w:rsidRDefault="00000000">
      <w:pPr>
        <w:pStyle w:val="a0"/>
        <w:numPr>
          <w:ilvl w:val="0"/>
          <w:numId w:val="0"/>
        </w:numPr>
        <w:ind w:left="420"/>
      </w:pPr>
      <w:r>
        <w:rPr>
          <w:rFonts w:ascii="黑体" w:eastAsia="黑体" w:hAnsi="黑体" w:cs="黑体" w:hint="eastAsia"/>
        </w:rPr>
        <w:t>——</w:t>
      </w:r>
      <w:r>
        <w:rPr>
          <w:rFonts w:hint="eastAsia"/>
        </w:rPr>
        <w:t>知识产权管理职能部门负责科创板上市知识产权信息披露工作的归口落实；</w:t>
      </w:r>
    </w:p>
    <w:p w14:paraId="0E99AE53" w14:textId="77777777" w:rsidR="009D5D3B" w:rsidRDefault="00000000">
      <w:pPr>
        <w:pStyle w:val="a0"/>
        <w:numPr>
          <w:ilvl w:val="0"/>
          <w:numId w:val="0"/>
        </w:numPr>
        <w:ind w:left="420"/>
      </w:pPr>
      <w:r>
        <w:rPr>
          <w:rFonts w:ascii="黑体" w:eastAsia="黑体" w:hAnsi="黑体" w:cs="黑体" w:hint="eastAsia"/>
        </w:rPr>
        <w:t>——</w:t>
      </w:r>
      <w:r>
        <w:rPr>
          <w:rFonts w:hint="eastAsia"/>
        </w:rPr>
        <w:t>财务、研发、人力资源等其他职能部门负责职能范围内知识产权信息披露工作的落实。</w:t>
      </w:r>
    </w:p>
    <w:p w14:paraId="38C15116" w14:textId="77777777" w:rsidR="009D5D3B" w:rsidRDefault="00000000">
      <w:pPr>
        <w:pStyle w:val="affc"/>
        <w:ind w:firstLine="360"/>
        <w:rPr>
          <w:rFonts w:ascii="黑体" w:eastAsia="黑体" w:hAnsi="黑体" w:cs="黑体" w:hint="eastAsia"/>
          <w:sz w:val="18"/>
          <w:szCs w:val="18"/>
        </w:rPr>
      </w:pPr>
      <w:r>
        <w:rPr>
          <w:rFonts w:ascii="黑体" w:eastAsia="黑体" w:hAnsi="黑体" w:cs="黑体" w:hint="eastAsia"/>
          <w:sz w:val="18"/>
          <w:szCs w:val="18"/>
        </w:rPr>
        <w:t>注：</w:t>
      </w:r>
      <w:r>
        <w:rPr>
          <w:rFonts w:hAnsi="宋体" w:cs="宋体" w:hint="eastAsia"/>
          <w:sz w:val="18"/>
          <w:szCs w:val="18"/>
        </w:rPr>
        <w:t>没有创建知识产权管理部门的企业，可以将相关职能分配至现有的相关部门或岗位。</w:t>
      </w:r>
    </w:p>
    <w:p w14:paraId="6B5095E7" w14:textId="77777777" w:rsidR="009D5D3B" w:rsidRDefault="00000000">
      <w:pPr>
        <w:pStyle w:val="afff3"/>
        <w:spacing w:beforeLines="50" w:before="156" w:afterLines="50" w:after="156"/>
        <w:rPr>
          <w:rFonts w:ascii="黑体" w:eastAsia="黑体" w:hAnsi="黑体" w:cs="黑体" w:hint="eastAsia"/>
        </w:rPr>
      </w:pPr>
      <w:r>
        <w:rPr>
          <w:rFonts w:ascii="黑体" w:eastAsia="黑体" w:hAnsi="黑体" w:cs="黑体" w:hint="eastAsia"/>
        </w:rPr>
        <w:t>中介机构</w:t>
      </w:r>
    </w:p>
    <w:p w14:paraId="0D93A1C0" w14:textId="77777777" w:rsidR="009D5D3B" w:rsidRDefault="00000000">
      <w:pPr>
        <w:pStyle w:val="afff3"/>
        <w:numPr>
          <w:ilvl w:val="3"/>
          <w:numId w:val="0"/>
        </w:numPr>
        <w:ind w:firstLineChars="200" w:firstLine="420"/>
      </w:pPr>
      <w:r>
        <w:rPr>
          <w:rFonts w:hint="eastAsia"/>
        </w:rPr>
        <w:lastRenderedPageBreak/>
        <w:t>企业科创板上市应聘请专业的中介机构提供信息披露服务。保荐人和证券服务机构是招股说明书撰写与编制的重要组织者和参与者。企业选聘保荐人、证券服务机构提供知识产权信息披露服务时，宜从以下方面考察：</w:t>
      </w:r>
    </w:p>
    <w:p w14:paraId="73B10CB4" w14:textId="77777777" w:rsidR="009D5D3B" w:rsidRDefault="00000000">
      <w:pPr>
        <w:pStyle w:val="a0"/>
        <w:numPr>
          <w:ilvl w:val="0"/>
          <w:numId w:val="0"/>
        </w:numPr>
        <w:ind w:left="420"/>
      </w:pPr>
      <w:r>
        <w:rPr>
          <w:rFonts w:ascii="黑体" w:eastAsia="黑体" w:hAnsi="黑体" w:cs="黑体" w:hint="eastAsia"/>
        </w:rPr>
        <w:t>——</w:t>
      </w:r>
      <w:r>
        <w:rPr>
          <w:rFonts w:hint="eastAsia"/>
        </w:rPr>
        <w:t>具备从业资质，证券服务机构应取得相关备案或资质；</w:t>
      </w:r>
    </w:p>
    <w:p w14:paraId="6A4139F1" w14:textId="77777777" w:rsidR="009D5D3B" w:rsidRDefault="00000000">
      <w:pPr>
        <w:pStyle w:val="a0"/>
        <w:numPr>
          <w:ilvl w:val="0"/>
          <w:numId w:val="0"/>
        </w:numPr>
        <w:ind w:left="420"/>
      </w:pPr>
      <w:r>
        <w:rPr>
          <w:rFonts w:ascii="黑体" w:eastAsia="黑体" w:hAnsi="黑体" w:cs="黑体" w:hint="eastAsia"/>
        </w:rPr>
        <w:t>——</w:t>
      </w:r>
      <w:r>
        <w:rPr>
          <w:rFonts w:hint="eastAsia"/>
        </w:rPr>
        <w:t>遵纪守法，诚实守信，勤勉尽责，恪守职业道德和执业纪律；</w:t>
      </w:r>
    </w:p>
    <w:p w14:paraId="6358C9C3" w14:textId="77777777" w:rsidR="009D5D3B" w:rsidRDefault="00000000">
      <w:pPr>
        <w:pStyle w:val="a0"/>
        <w:numPr>
          <w:ilvl w:val="0"/>
          <w:numId w:val="0"/>
        </w:numPr>
        <w:ind w:left="420"/>
      </w:pPr>
      <w:r>
        <w:rPr>
          <w:rFonts w:ascii="黑体" w:eastAsia="黑体" w:hAnsi="黑体" w:cs="黑体" w:hint="eastAsia"/>
        </w:rPr>
        <w:t>——</w:t>
      </w:r>
      <w:r>
        <w:rPr>
          <w:rFonts w:hint="eastAsia"/>
        </w:rPr>
        <w:t>具备相关知识，能够准确理解和适用知识产权信息披露要求；</w:t>
      </w:r>
    </w:p>
    <w:p w14:paraId="6041174D" w14:textId="77777777" w:rsidR="009D5D3B" w:rsidRDefault="00000000">
      <w:pPr>
        <w:pStyle w:val="a0"/>
        <w:numPr>
          <w:ilvl w:val="0"/>
          <w:numId w:val="0"/>
        </w:numPr>
        <w:ind w:left="420"/>
      </w:pPr>
      <w:r>
        <w:rPr>
          <w:rFonts w:ascii="黑体" w:eastAsia="黑体" w:hAnsi="黑体" w:cs="黑体" w:hint="eastAsia"/>
        </w:rPr>
        <w:t>——</w:t>
      </w:r>
      <w:r>
        <w:rPr>
          <w:rFonts w:hint="eastAsia"/>
        </w:rPr>
        <w:t>具有一定的经验并有同领域的成功案例。</w:t>
      </w:r>
    </w:p>
    <w:p w14:paraId="3C27E088" w14:textId="77777777" w:rsidR="009D5D3B" w:rsidRDefault="00000000">
      <w:pPr>
        <w:pStyle w:val="aa"/>
        <w:spacing w:before="156" w:after="156"/>
      </w:pPr>
      <w:bookmarkStart w:id="86" w:name="_Toc9022"/>
      <w:bookmarkStart w:id="87" w:name="_Toc23800"/>
      <w:r>
        <w:rPr>
          <w:rFonts w:hint="eastAsia"/>
        </w:rPr>
        <w:t>确定上市时间表</w:t>
      </w:r>
      <w:bookmarkEnd w:id="86"/>
      <w:bookmarkEnd w:id="87"/>
    </w:p>
    <w:p w14:paraId="60DD8909" w14:textId="77777777" w:rsidR="009D5D3B" w:rsidRDefault="00000000">
      <w:pPr>
        <w:pStyle w:val="afff3"/>
        <w:numPr>
          <w:ilvl w:val="3"/>
          <w:numId w:val="0"/>
        </w:numPr>
        <w:ind w:firstLineChars="200" w:firstLine="420"/>
      </w:pPr>
      <w:r>
        <w:rPr>
          <w:rFonts w:hint="eastAsia"/>
        </w:rPr>
        <w:t>企业董事会制定并经股东大会批准的上市具体方案中，宜包含上市时间表，根据上市时间表确定知识产权信息披露报告期。上市时间表由企业管理层在前期准备阶段根据企业自身情况、当前监管环境及与中介机构的沟通情况进行制定。</w:t>
      </w:r>
    </w:p>
    <w:p w14:paraId="2DDF10FC" w14:textId="77777777" w:rsidR="009D5D3B" w:rsidRDefault="00000000">
      <w:pPr>
        <w:pStyle w:val="aa"/>
        <w:spacing w:before="156" w:after="156"/>
      </w:pPr>
      <w:bookmarkStart w:id="88" w:name="_Toc17911"/>
      <w:bookmarkStart w:id="89" w:name="_Toc24532"/>
      <w:r>
        <w:rPr>
          <w:rFonts w:hint="eastAsia"/>
        </w:rPr>
        <w:t>信息收集</w:t>
      </w:r>
      <w:bookmarkEnd w:id="88"/>
      <w:bookmarkEnd w:id="89"/>
    </w:p>
    <w:p w14:paraId="619B70E8" w14:textId="77777777" w:rsidR="009D5D3B" w:rsidRDefault="00000000">
      <w:pPr>
        <w:pStyle w:val="afff3"/>
        <w:numPr>
          <w:ilvl w:val="3"/>
          <w:numId w:val="0"/>
        </w:numPr>
        <w:ind w:firstLineChars="200" w:firstLine="420"/>
      </w:pPr>
      <w:r>
        <w:rPr>
          <w:rFonts w:hint="eastAsia"/>
        </w:rPr>
        <w:t>企业相关职能部门根据时间表要求，及时、真实、准确、完整地搜集、整理、提供知识产权信息资料。</w:t>
      </w:r>
    </w:p>
    <w:p w14:paraId="23475A8F" w14:textId="77777777" w:rsidR="009D5D3B" w:rsidRDefault="00000000">
      <w:pPr>
        <w:pStyle w:val="aa"/>
        <w:spacing w:before="156" w:after="156"/>
      </w:pPr>
      <w:bookmarkStart w:id="90" w:name="_Toc16168"/>
      <w:bookmarkStart w:id="91" w:name="_Toc14828"/>
      <w:r>
        <w:rPr>
          <w:rFonts w:hint="eastAsia"/>
        </w:rPr>
        <w:t>问题自查</w:t>
      </w:r>
      <w:bookmarkEnd w:id="90"/>
      <w:bookmarkEnd w:id="91"/>
    </w:p>
    <w:p w14:paraId="0369F778" w14:textId="77777777" w:rsidR="009D5D3B" w:rsidRDefault="00000000">
      <w:pPr>
        <w:pStyle w:val="afff3"/>
        <w:numPr>
          <w:ilvl w:val="3"/>
          <w:numId w:val="0"/>
        </w:numPr>
        <w:ind w:firstLineChars="200" w:firstLine="420"/>
      </w:pPr>
      <w:r>
        <w:rPr>
          <w:rFonts w:hint="eastAsia"/>
        </w:rPr>
        <w:t>企业应当严格按照证监会及上交所发布的信息披露规则，在上市申报前对照常见知识产权问题的信息披露和核查要求进行自查。</w:t>
      </w:r>
    </w:p>
    <w:p w14:paraId="13477011" w14:textId="77777777" w:rsidR="009D5D3B" w:rsidRDefault="00000000">
      <w:pPr>
        <w:pStyle w:val="aa"/>
        <w:spacing w:before="156" w:after="156"/>
      </w:pPr>
      <w:bookmarkStart w:id="92" w:name="_Toc17505"/>
      <w:bookmarkStart w:id="93" w:name="_Toc26700"/>
      <w:bookmarkStart w:id="94" w:name="_Toc1118"/>
      <w:r>
        <w:rPr>
          <w:rFonts w:hint="eastAsia"/>
        </w:rPr>
        <w:t>尽职调查</w:t>
      </w:r>
      <w:bookmarkEnd w:id="92"/>
      <w:bookmarkEnd w:id="93"/>
      <w:bookmarkEnd w:id="94"/>
    </w:p>
    <w:p w14:paraId="36A2FBDE" w14:textId="77777777" w:rsidR="009D5D3B" w:rsidRDefault="00000000">
      <w:pPr>
        <w:pStyle w:val="afff3"/>
        <w:numPr>
          <w:ilvl w:val="3"/>
          <w:numId w:val="0"/>
        </w:numPr>
        <w:ind w:firstLineChars="200" w:firstLine="420"/>
      </w:pPr>
      <w:r>
        <w:rPr>
          <w:rFonts w:hint="eastAsia"/>
        </w:rPr>
        <w:t>保荐人通过执行合理、必要的尽职调查程序，以合理确信企业符合知识产权信息披露要求，信息披露真实、准确、完整。</w:t>
      </w:r>
    </w:p>
    <w:p w14:paraId="25A53643" w14:textId="77777777" w:rsidR="009D5D3B" w:rsidRDefault="00000000">
      <w:pPr>
        <w:pStyle w:val="aa"/>
        <w:spacing w:before="156" w:after="156"/>
      </w:pPr>
      <w:bookmarkStart w:id="95" w:name="_Toc31319"/>
      <w:bookmarkStart w:id="96" w:name="_Toc11993"/>
      <w:bookmarkStart w:id="97" w:name="_Toc16887"/>
      <w:r>
        <w:rPr>
          <w:rFonts w:hint="eastAsia"/>
        </w:rPr>
        <w:t>编制招股说明书</w:t>
      </w:r>
      <w:bookmarkEnd w:id="95"/>
      <w:bookmarkEnd w:id="96"/>
      <w:bookmarkEnd w:id="97"/>
    </w:p>
    <w:p w14:paraId="4E1F6E2C" w14:textId="77777777" w:rsidR="009D5D3B" w:rsidRDefault="00000000">
      <w:pPr>
        <w:pStyle w:val="afff3"/>
        <w:numPr>
          <w:ilvl w:val="3"/>
          <w:numId w:val="0"/>
        </w:numPr>
        <w:ind w:firstLineChars="200" w:firstLine="420"/>
      </w:pPr>
      <w:r>
        <w:rPr>
          <w:rFonts w:hint="eastAsia"/>
        </w:rPr>
        <w:t>企业应当按照信息披露规则编制招股说明书。企业聘请的证券服务机构应当按照业务规则和行业自律规则，出具专业意见。保荐人应当对招股说明书和专业意见中有关知识产权的内容进行审慎核查，出具发行保荐书。</w:t>
      </w:r>
    </w:p>
    <w:p w14:paraId="26D272EA" w14:textId="77777777" w:rsidR="009D5D3B" w:rsidRDefault="00000000">
      <w:pPr>
        <w:pStyle w:val="aa"/>
        <w:spacing w:before="156" w:after="156"/>
      </w:pPr>
      <w:bookmarkStart w:id="98" w:name="_Toc17025"/>
      <w:bookmarkStart w:id="99" w:name="_Toc9857"/>
      <w:bookmarkStart w:id="100" w:name="_Toc14862"/>
      <w:r>
        <w:rPr>
          <w:rFonts w:hint="eastAsia"/>
        </w:rPr>
        <w:t>提交申请</w:t>
      </w:r>
      <w:bookmarkEnd w:id="98"/>
      <w:bookmarkEnd w:id="99"/>
      <w:bookmarkEnd w:id="100"/>
    </w:p>
    <w:p w14:paraId="728F482E" w14:textId="77777777" w:rsidR="009D5D3B" w:rsidRDefault="00000000">
      <w:pPr>
        <w:pStyle w:val="afff3"/>
        <w:numPr>
          <w:ilvl w:val="3"/>
          <w:numId w:val="0"/>
        </w:numPr>
        <w:ind w:firstLineChars="200" w:firstLine="420"/>
      </w:pPr>
      <w:r>
        <w:rPr>
          <w:rFonts w:hint="eastAsia"/>
        </w:rPr>
        <w:t>企业委托保荐人通过上交所发行上市审核业务系统报送招股说明书等申请文件。</w:t>
      </w:r>
    </w:p>
    <w:p w14:paraId="7DD1105B" w14:textId="77777777" w:rsidR="009D5D3B" w:rsidRDefault="00000000">
      <w:pPr>
        <w:pStyle w:val="a9"/>
        <w:spacing w:before="312" w:after="312"/>
        <w:rPr>
          <w:szCs w:val="22"/>
        </w:rPr>
      </w:pPr>
      <w:bookmarkStart w:id="101" w:name="_Toc9324"/>
      <w:r>
        <w:rPr>
          <w:rFonts w:ascii="Times New Roman" w:hint="eastAsia"/>
        </w:rPr>
        <w:t>披露重点</w:t>
      </w:r>
      <w:bookmarkStart w:id="102" w:name="_Toc11097"/>
      <w:bookmarkEnd w:id="101"/>
    </w:p>
    <w:p w14:paraId="586D78CE" w14:textId="77777777" w:rsidR="009D5D3B" w:rsidRDefault="00000000">
      <w:pPr>
        <w:pStyle w:val="aa"/>
        <w:spacing w:before="156" w:after="156"/>
      </w:pPr>
      <w:bookmarkStart w:id="103" w:name="_Toc9667"/>
      <w:r>
        <w:rPr>
          <w:rFonts w:hint="eastAsia"/>
        </w:rPr>
        <w:t>披露范围</w:t>
      </w:r>
      <w:bookmarkEnd w:id="102"/>
      <w:bookmarkEnd w:id="103"/>
    </w:p>
    <w:p w14:paraId="7AC05983" w14:textId="77777777" w:rsidR="009D5D3B" w:rsidRDefault="00000000">
      <w:pPr>
        <w:pStyle w:val="afff3"/>
        <w:numPr>
          <w:ilvl w:val="3"/>
          <w:numId w:val="0"/>
        </w:numPr>
        <w:ind w:firstLineChars="200" w:firstLine="420"/>
      </w:pPr>
      <w:r>
        <w:rPr>
          <w:rFonts w:hint="eastAsia"/>
        </w:rPr>
        <w:t>企业宜根据重要性原则，针对性、个性化披露其在板块定位、合规性、财务类、行业信息及特定类型企业相关信息披露中的重要事件及情形。同时宜披露重要性的确定标准和依据。</w:t>
      </w:r>
    </w:p>
    <w:p w14:paraId="4036FF42" w14:textId="77777777" w:rsidR="009D5D3B" w:rsidRDefault="00000000">
      <w:pPr>
        <w:pStyle w:val="afff3"/>
        <w:numPr>
          <w:ilvl w:val="3"/>
          <w:numId w:val="0"/>
        </w:numPr>
        <w:ind w:firstLineChars="200" w:firstLine="420"/>
      </w:pPr>
      <w:r>
        <w:rPr>
          <w:rFonts w:hint="eastAsia"/>
        </w:rPr>
        <w:t>披露范围为上述重要事件和情形中所涉知识产权事项。</w:t>
      </w:r>
    </w:p>
    <w:p w14:paraId="18EB6CCF" w14:textId="77777777" w:rsidR="009D5D3B" w:rsidRDefault="00000000">
      <w:pPr>
        <w:pStyle w:val="aa"/>
        <w:spacing w:before="156" w:after="156"/>
      </w:pPr>
      <w:bookmarkStart w:id="104" w:name="_Toc25557"/>
      <w:bookmarkStart w:id="105" w:name="_Toc10841"/>
      <w:bookmarkStart w:id="106" w:name="_Toc30573"/>
      <w:r>
        <w:rPr>
          <w:rFonts w:hint="eastAsia"/>
        </w:rPr>
        <w:t>板块定位</w:t>
      </w:r>
      <w:bookmarkEnd w:id="104"/>
      <w:bookmarkEnd w:id="105"/>
      <w:bookmarkEnd w:id="106"/>
    </w:p>
    <w:p w14:paraId="1AB9EEE8" w14:textId="77777777" w:rsidR="009D5D3B" w:rsidRDefault="00000000">
      <w:pPr>
        <w:pStyle w:val="afff3"/>
        <w:spacing w:beforeLines="50" w:before="156" w:afterLines="50" w:after="156"/>
        <w:rPr>
          <w:rFonts w:ascii="黑体" w:eastAsia="黑体" w:hAnsi="黑体" w:cs="黑体" w:hint="eastAsia"/>
        </w:rPr>
      </w:pPr>
      <w:bookmarkStart w:id="107" w:name="_Toc161302654"/>
      <w:r>
        <w:rPr>
          <w:rFonts w:ascii="黑体" w:eastAsia="黑体" w:hAnsi="黑体" w:cs="黑体" w:hint="eastAsia"/>
        </w:rPr>
        <w:t>行业要求</w:t>
      </w:r>
      <w:bookmarkEnd w:id="107"/>
    </w:p>
    <w:p w14:paraId="6A0F0C7A" w14:textId="77777777" w:rsidR="009D5D3B" w:rsidRDefault="00000000">
      <w:pPr>
        <w:pStyle w:val="afff3"/>
        <w:numPr>
          <w:ilvl w:val="3"/>
          <w:numId w:val="0"/>
        </w:numPr>
        <w:ind w:firstLineChars="200" w:firstLine="420"/>
      </w:pPr>
      <w:r>
        <w:rPr>
          <w:rFonts w:hint="eastAsia"/>
        </w:rPr>
        <w:lastRenderedPageBreak/>
        <w:t>企业宜提供业务模式说明、科技创新战略规划及科技创新项目清单等，证明其属于高新技术产业或战略性新兴产业，以及在所属行业或领域的创新能力和对科技进步的贡献，企业知识产权情况符合科创板行业准入与科创属性要求。</w:t>
      </w:r>
    </w:p>
    <w:p w14:paraId="5E5E8820" w14:textId="77777777" w:rsidR="009D5D3B" w:rsidRDefault="00000000">
      <w:pPr>
        <w:pStyle w:val="afff3"/>
        <w:spacing w:beforeLines="50" w:before="156" w:afterLines="50" w:after="156"/>
        <w:rPr>
          <w:rFonts w:ascii="黑体" w:eastAsia="黑体" w:hAnsi="黑体" w:cs="黑体" w:hint="eastAsia"/>
        </w:rPr>
      </w:pPr>
      <w:bookmarkStart w:id="108" w:name="_Toc161302655"/>
      <w:r>
        <w:rPr>
          <w:rFonts w:ascii="黑体" w:eastAsia="黑体" w:hAnsi="黑体" w:cs="黑体" w:hint="eastAsia"/>
        </w:rPr>
        <w:t>研发人员</w:t>
      </w:r>
      <w:bookmarkEnd w:id="108"/>
      <w:r>
        <w:rPr>
          <w:rFonts w:ascii="黑体" w:eastAsia="黑体" w:hAnsi="黑体" w:cs="黑体" w:hint="eastAsia"/>
        </w:rPr>
        <w:tab/>
      </w:r>
    </w:p>
    <w:p w14:paraId="6B990B5D" w14:textId="77777777" w:rsidR="009D5D3B" w:rsidRDefault="00000000">
      <w:pPr>
        <w:pStyle w:val="afff3"/>
        <w:numPr>
          <w:ilvl w:val="3"/>
          <w:numId w:val="0"/>
        </w:numPr>
        <w:ind w:firstLineChars="200" w:firstLine="420"/>
      </w:pPr>
      <w:r>
        <w:rPr>
          <w:rFonts w:hint="eastAsia"/>
        </w:rPr>
        <w:t>研发人员情况是科创属性评价重要指标，反映企业创新能力与知识产权质量。企业需披露：</w:t>
      </w:r>
    </w:p>
    <w:p w14:paraId="6955E385" w14:textId="77777777" w:rsidR="009D5D3B" w:rsidRDefault="00000000">
      <w:pPr>
        <w:pStyle w:val="a0"/>
        <w:numPr>
          <w:ilvl w:val="0"/>
          <w:numId w:val="10"/>
        </w:numPr>
        <w:ind w:leftChars="200" w:left="840" w:hangingChars="200" w:hanging="420"/>
      </w:pPr>
      <w:r>
        <w:rPr>
          <w:rFonts w:hint="eastAsia"/>
        </w:rPr>
        <w:t>核心技术人员及研发人员数量，并出具研发人员比例报告等，研发人员占当年员工总数的比例不低于10%；</w:t>
      </w:r>
    </w:p>
    <w:p w14:paraId="1F066585" w14:textId="77777777" w:rsidR="009D5D3B" w:rsidRDefault="00000000">
      <w:pPr>
        <w:pStyle w:val="a0"/>
        <w:numPr>
          <w:ilvl w:val="0"/>
          <w:numId w:val="10"/>
        </w:numPr>
        <w:ind w:leftChars="200" w:left="840" w:hangingChars="200" w:hanging="420"/>
      </w:pPr>
      <w:r>
        <w:rPr>
          <w:rFonts w:hint="eastAsia"/>
        </w:rPr>
        <w:t>研发人员认定及管理制度，详细披露研发人员学历分布、毕业院校、专业、从业和任职年限、职称、省级以上科技奖项等研发人员能力及相关影响因素。</w:t>
      </w:r>
    </w:p>
    <w:p w14:paraId="537170FD" w14:textId="77777777" w:rsidR="009D5D3B" w:rsidRDefault="00000000">
      <w:pPr>
        <w:pStyle w:val="afff3"/>
        <w:spacing w:beforeLines="50" w:before="156" w:afterLines="50" w:after="156"/>
        <w:rPr>
          <w:rFonts w:ascii="黑体" w:eastAsia="黑体"/>
        </w:rPr>
      </w:pPr>
      <w:bookmarkStart w:id="109" w:name="_Toc161302656"/>
      <w:r>
        <w:rPr>
          <w:rFonts w:ascii="黑体" w:eastAsia="黑体" w:hint="eastAsia"/>
        </w:rPr>
        <w:t>研发投入</w:t>
      </w:r>
      <w:bookmarkEnd w:id="109"/>
    </w:p>
    <w:p w14:paraId="4208734D" w14:textId="77777777" w:rsidR="009D5D3B" w:rsidRDefault="00000000">
      <w:pPr>
        <w:pStyle w:val="afff3"/>
        <w:numPr>
          <w:ilvl w:val="3"/>
          <w:numId w:val="0"/>
        </w:numPr>
        <w:ind w:firstLineChars="200" w:firstLine="420"/>
      </w:pPr>
      <w:r>
        <w:rPr>
          <w:rFonts w:hint="eastAsia"/>
        </w:rPr>
        <w:t>研发投入是科创属性评价重要指标，反映企业知识产权创新能力。企业需披露：</w:t>
      </w:r>
    </w:p>
    <w:p w14:paraId="593C1F32" w14:textId="77777777" w:rsidR="009D5D3B" w:rsidRDefault="00000000">
      <w:pPr>
        <w:pStyle w:val="a0"/>
        <w:numPr>
          <w:ilvl w:val="0"/>
          <w:numId w:val="11"/>
        </w:numPr>
        <w:ind w:leftChars="200" w:left="840" w:hangingChars="200" w:hanging="420"/>
      </w:pPr>
      <w:r>
        <w:rPr>
          <w:rFonts w:hint="eastAsia"/>
        </w:rPr>
        <w:t>研发费用支出明细账、研发投入报告及相关研发项目的合同和发票等，确保最近三年研发投入占营业收入比例5%以上，或最近三年研发投入金额累计在8000万元以上。其中软件行业研发投入占营业收入比例应在10%以上；</w:t>
      </w:r>
    </w:p>
    <w:p w14:paraId="7285B347" w14:textId="77777777" w:rsidR="009D5D3B" w:rsidRDefault="00000000">
      <w:pPr>
        <w:pStyle w:val="a0"/>
        <w:numPr>
          <w:ilvl w:val="0"/>
          <w:numId w:val="11"/>
        </w:numPr>
        <w:ind w:leftChars="200" w:left="840" w:hangingChars="200" w:hanging="420"/>
      </w:pPr>
      <w:r>
        <w:rPr>
          <w:rFonts w:hint="eastAsia"/>
        </w:rPr>
        <w:t>企业研发投入与主营业务的密切相关性，能够支撑业务持续发展，并能取得预期的经济或技术效果；</w:t>
      </w:r>
    </w:p>
    <w:p w14:paraId="0E3B9D23" w14:textId="77777777" w:rsidR="009D5D3B" w:rsidRDefault="00000000">
      <w:pPr>
        <w:pStyle w:val="a0"/>
        <w:numPr>
          <w:ilvl w:val="0"/>
          <w:numId w:val="11"/>
        </w:numPr>
        <w:ind w:leftChars="200" w:left="840" w:hangingChars="200" w:hanging="420"/>
      </w:pPr>
      <w:r>
        <w:rPr>
          <w:rFonts w:hint="eastAsia"/>
        </w:rPr>
        <w:t>研发项目完成可行性论证、立项、结题等信息，按照研发项目进行研发投入专项归集。应确保企业在高新技术企业申请层面的“研发投入”、税务申报层面加计扣除认定金额、财务报表层面“研发费用”间不存在较大差异，或明确相关差异的原因及合理性。</w:t>
      </w:r>
    </w:p>
    <w:p w14:paraId="20080263" w14:textId="77777777" w:rsidR="009D5D3B" w:rsidRDefault="00000000">
      <w:pPr>
        <w:pStyle w:val="afff3"/>
        <w:spacing w:beforeLines="50" w:before="156" w:afterLines="50" w:after="156"/>
        <w:rPr>
          <w:rFonts w:ascii="黑体" w:eastAsia="黑体"/>
        </w:rPr>
      </w:pPr>
      <w:bookmarkStart w:id="110" w:name="_Toc161302657"/>
      <w:r>
        <w:rPr>
          <w:rFonts w:ascii="黑体" w:eastAsia="黑体" w:hint="eastAsia"/>
        </w:rPr>
        <w:t>发明专利</w:t>
      </w:r>
      <w:bookmarkEnd w:id="110"/>
    </w:p>
    <w:p w14:paraId="6E504C0E" w14:textId="77777777" w:rsidR="009D5D3B" w:rsidRDefault="00000000">
      <w:pPr>
        <w:pStyle w:val="afff3"/>
        <w:numPr>
          <w:ilvl w:val="3"/>
          <w:numId w:val="0"/>
        </w:numPr>
        <w:ind w:firstLineChars="200" w:firstLine="420"/>
      </w:pPr>
      <w:r>
        <w:rPr>
          <w:rFonts w:hint="eastAsia"/>
        </w:rPr>
        <w:t>发明专利是企业科创属性评价重要指标。企业宜提供：</w:t>
      </w:r>
    </w:p>
    <w:p w14:paraId="1982A8DA" w14:textId="77777777" w:rsidR="009D5D3B" w:rsidRDefault="00000000">
      <w:pPr>
        <w:pStyle w:val="a0"/>
        <w:numPr>
          <w:ilvl w:val="0"/>
          <w:numId w:val="12"/>
        </w:numPr>
        <w:ind w:leftChars="200" w:left="840" w:hangingChars="200" w:hanging="420"/>
      </w:pPr>
      <w:r>
        <w:rPr>
          <w:rFonts w:hint="eastAsia"/>
        </w:rPr>
        <w:t>专利证书、授权文件、专利登记簿及专利实施情况报告等，披露应用于公司主营业务的发明专利7项以上。根据要求软件行业不适用该发明专利指标；</w:t>
      </w:r>
    </w:p>
    <w:p w14:paraId="44947F19" w14:textId="77777777" w:rsidR="009D5D3B" w:rsidRDefault="00000000">
      <w:pPr>
        <w:pStyle w:val="a0"/>
        <w:numPr>
          <w:ilvl w:val="0"/>
          <w:numId w:val="12"/>
        </w:numPr>
        <w:ind w:leftChars="200" w:left="840" w:hangingChars="200" w:hanging="420"/>
      </w:pPr>
      <w:r>
        <w:rPr>
          <w:rFonts w:hint="eastAsia"/>
        </w:rPr>
        <w:t>相关发明专利的有效期、年费收据或发票，确保所披露的发明专利获得专利授权并持续有效。若核心技术未申请专利保护，宜说明采取商业秘密等其他知识产权保护措施的合理理由或原因；</w:t>
      </w:r>
    </w:p>
    <w:p w14:paraId="0FDCBC00" w14:textId="77777777" w:rsidR="009D5D3B" w:rsidRDefault="00000000">
      <w:pPr>
        <w:pStyle w:val="a0"/>
        <w:numPr>
          <w:ilvl w:val="0"/>
          <w:numId w:val="12"/>
        </w:numPr>
        <w:ind w:leftChars="200" w:left="840" w:hangingChars="200" w:hanging="420"/>
      </w:pPr>
      <w:r>
        <w:rPr>
          <w:rFonts w:hint="eastAsia"/>
        </w:rPr>
        <w:t>发明专利尤其是核心专利在主营业务中的实施、使用情况，宜详细披露与主营业务收入相关的发明专利与主要产品的对应关系、与核心技术的关系、报告期内实现的收入及占比，相关收入的测算依据及准确性等信息；</w:t>
      </w:r>
    </w:p>
    <w:p w14:paraId="2224FE47" w14:textId="77777777" w:rsidR="009D5D3B" w:rsidRDefault="00000000">
      <w:pPr>
        <w:pStyle w:val="a0"/>
        <w:numPr>
          <w:ilvl w:val="0"/>
          <w:numId w:val="12"/>
        </w:numPr>
        <w:ind w:leftChars="200" w:left="840" w:hangingChars="200" w:hanging="420"/>
      </w:pPr>
      <w:r>
        <w:rPr>
          <w:rFonts w:hint="eastAsia"/>
        </w:rPr>
        <w:t>发明专利的取得方式，受让取得的发明专利应详细披露转让原因、价格、在主营业务中的使用情况等信息。</w:t>
      </w:r>
    </w:p>
    <w:p w14:paraId="003BBF11" w14:textId="77777777" w:rsidR="009D5D3B" w:rsidRDefault="00000000">
      <w:pPr>
        <w:pStyle w:val="afff3"/>
        <w:spacing w:beforeLines="50" w:before="156" w:afterLines="50" w:after="156"/>
        <w:rPr>
          <w:rFonts w:ascii="黑体" w:eastAsia="黑体"/>
        </w:rPr>
      </w:pPr>
      <w:bookmarkStart w:id="111" w:name="_Toc161302658"/>
      <w:r>
        <w:rPr>
          <w:rFonts w:ascii="黑体" w:eastAsia="黑体" w:hint="eastAsia"/>
        </w:rPr>
        <w:t>营业收入</w:t>
      </w:r>
      <w:bookmarkEnd w:id="111"/>
    </w:p>
    <w:p w14:paraId="0F1D976A" w14:textId="77777777" w:rsidR="009D5D3B" w:rsidRDefault="00000000">
      <w:pPr>
        <w:pStyle w:val="afff3"/>
        <w:numPr>
          <w:ilvl w:val="3"/>
          <w:numId w:val="0"/>
        </w:numPr>
        <w:ind w:firstLineChars="200" w:firstLine="420"/>
      </w:pPr>
      <w:r>
        <w:rPr>
          <w:rFonts w:hint="eastAsia"/>
        </w:rPr>
        <w:t>企业宜提供近三年经审计的财务报表及营业收入增长分析等，</w:t>
      </w:r>
      <w:r>
        <w:rPr>
          <w:rFonts w:hint="eastAsia"/>
          <w:lang w:val="zh-CN"/>
        </w:rPr>
        <w:t>最近三年营业收入复合增长率达到2</w:t>
      </w:r>
      <w:r>
        <w:rPr>
          <w:rFonts w:hint="eastAsia"/>
        </w:rPr>
        <w:t>5</w:t>
      </w:r>
      <w:r>
        <w:rPr>
          <w:rFonts w:hint="eastAsia"/>
          <w:lang w:val="zh-CN"/>
        </w:rPr>
        <w:t>%，或最近一年营业收入金额达到3亿元</w:t>
      </w:r>
      <w:r>
        <w:rPr>
          <w:rFonts w:hint="eastAsia"/>
        </w:rPr>
        <w:t>。符合要求的医药行业企业及已在境外上市的红筹企业，可不适用该营业收入指标。</w:t>
      </w:r>
    </w:p>
    <w:p w14:paraId="7D4685BD" w14:textId="77777777" w:rsidR="009D5D3B" w:rsidRDefault="00000000">
      <w:pPr>
        <w:pStyle w:val="afff3"/>
        <w:numPr>
          <w:ilvl w:val="3"/>
          <w:numId w:val="0"/>
        </w:numPr>
        <w:ind w:firstLineChars="200" w:firstLine="420"/>
      </w:pPr>
      <w:r>
        <w:rPr>
          <w:rFonts w:hint="eastAsia"/>
        </w:rPr>
        <w:t>企业宜详细披露核心技术产品占主营收入的比例，计算过程、依据；核心技术贡献收入与非核心技术贡献收入区分的依据或口径、计算方法，以及分别对应的产品等信息。</w:t>
      </w:r>
    </w:p>
    <w:p w14:paraId="15858FC4" w14:textId="77777777" w:rsidR="009D5D3B" w:rsidRDefault="00000000">
      <w:pPr>
        <w:pStyle w:val="afff3"/>
        <w:spacing w:beforeLines="50" w:before="156" w:afterLines="50" w:after="156"/>
        <w:rPr>
          <w:rFonts w:ascii="黑体" w:eastAsia="黑体"/>
        </w:rPr>
      </w:pPr>
      <w:r>
        <w:rPr>
          <w:rFonts w:ascii="黑体" w:eastAsia="黑体" w:hint="eastAsia"/>
        </w:rPr>
        <w:t>整体匹配</w:t>
      </w:r>
    </w:p>
    <w:p w14:paraId="3FE911AB" w14:textId="77777777" w:rsidR="009D5D3B" w:rsidRDefault="00000000">
      <w:pPr>
        <w:pStyle w:val="afff3"/>
        <w:numPr>
          <w:ilvl w:val="3"/>
          <w:numId w:val="0"/>
        </w:numPr>
        <w:ind w:firstLineChars="200" w:firstLine="420"/>
      </w:pPr>
      <w:r>
        <w:rPr>
          <w:rFonts w:hint="eastAsia"/>
        </w:rPr>
        <w:t>企业形成核心技术或应用于主营业务的发明专利数量规模，应当与企业的行业性质、研发投入、研</w:t>
      </w:r>
      <w:r>
        <w:rPr>
          <w:rFonts w:hint="eastAsia"/>
        </w:rPr>
        <w:lastRenderedPageBreak/>
        <w:t>发人员数量等相适应或相匹配，符合所在行业专利研发人均产出或投入产出的实际情况。</w:t>
      </w:r>
    </w:p>
    <w:p w14:paraId="6B57A130" w14:textId="77777777" w:rsidR="009D5D3B" w:rsidRDefault="00000000">
      <w:pPr>
        <w:pStyle w:val="aa"/>
        <w:spacing w:before="156" w:after="156"/>
      </w:pPr>
      <w:bookmarkStart w:id="112" w:name="_Toc24724"/>
      <w:bookmarkStart w:id="113" w:name="_Toc13445"/>
      <w:r>
        <w:rPr>
          <w:rFonts w:hint="eastAsia"/>
        </w:rPr>
        <w:t>合规性</w:t>
      </w:r>
      <w:bookmarkEnd w:id="112"/>
      <w:bookmarkEnd w:id="113"/>
    </w:p>
    <w:p w14:paraId="1BCFA700" w14:textId="77777777" w:rsidR="009D5D3B" w:rsidRDefault="00000000">
      <w:pPr>
        <w:pStyle w:val="afff3"/>
        <w:spacing w:beforeLines="50" w:before="156" w:afterLines="50" w:after="156"/>
        <w:rPr>
          <w:rFonts w:ascii="黑体" w:eastAsia="黑体"/>
        </w:rPr>
      </w:pPr>
      <w:bookmarkStart w:id="114" w:name="_Toc161302660"/>
      <w:r>
        <w:rPr>
          <w:rFonts w:ascii="黑体" w:eastAsia="黑体" w:hint="eastAsia"/>
        </w:rPr>
        <w:t>构成重大不利影响的同业竞争</w:t>
      </w:r>
      <w:bookmarkEnd w:id="114"/>
    </w:p>
    <w:p w14:paraId="08466885" w14:textId="77777777" w:rsidR="009D5D3B" w:rsidRDefault="00000000">
      <w:pPr>
        <w:pStyle w:val="afff3"/>
        <w:numPr>
          <w:ilvl w:val="3"/>
          <w:numId w:val="0"/>
        </w:numPr>
        <w:ind w:firstLineChars="200" w:firstLine="420"/>
      </w:pPr>
      <w:r>
        <w:rPr>
          <w:rFonts w:hint="eastAsia"/>
        </w:rPr>
        <w:t>企业宜提供技术比较分析报告、FTO分析报告、市场定位报告及知识产权布局报告等，详细分析技术、专利、商标、商号、客户、供应商等方面的潜在竞争性和冲突。</w:t>
      </w:r>
    </w:p>
    <w:p w14:paraId="10246EAA" w14:textId="77777777" w:rsidR="009D5D3B" w:rsidRDefault="00000000">
      <w:pPr>
        <w:pStyle w:val="afff3"/>
        <w:spacing w:beforeLines="50" w:before="156" w:afterLines="50" w:after="156"/>
        <w:rPr>
          <w:rFonts w:ascii="黑体" w:eastAsia="黑体"/>
        </w:rPr>
      </w:pPr>
      <w:bookmarkStart w:id="115" w:name="_Toc161302661"/>
      <w:r>
        <w:rPr>
          <w:rFonts w:ascii="黑体" w:eastAsia="黑体" w:hint="eastAsia"/>
        </w:rPr>
        <w:t>信息披露豁免</w:t>
      </w:r>
      <w:bookmarkEnd w:id="115"/>
    </w:p>
    <w:p w14:paraId="60B63A03" w14:textId="496B4BFE" w:rsidR="009D5D3B" w:rsidRDefault="00000000">
      <w:pPr>
        <w:pStyle w:val="afff3"/>
        <w:numPr>
          <w:ilvl w:val="3"/>
          <w:numId w:val="0"/>
        </w:numPr>
        <w:ind w:firstLineChars="200" w:firstLine="420"/>
      </w:pPr>
      <w:r>
        <w:rPr>
          <w:rFonts w:hint="eastAsia"/>
        </w:rPr>
        <w:t>企业有充分依据证明信息涉及国家秘密</w:t>
      </w:r>
      <w:r w:rsidR="00EE05AC">
        <w:rPr>
          <w:rFonts w:hint="eastAsia"/>
        </w:rPr>
        <w:t>、</w:t>
      </w:r>
      <w:r>
        <w:rPr>
          <w:rFonts w:hint="eastAsia"/>
        </w:rPr>
        <w:t>商业秘密及其他因披露可能导致违反国家有关保密法律法规规定或严重损害企业利益的，可按程序申请豁免披露。企业应提供专项核查报告、相关的官方文件、法律意见书，明确列出豁免的具体范围和原因。</w:t>
      </w:r>
    </w:p>
    <w:p w14:paraId="49DC5F27" w14:textId="77777777" w:rsidR="009D5D3B" w:rsidRDefault="00000000">
      <w:pPr>
        <w:pStyle w:val="afff3"/>
        <w:spacing w:beforeLines="50" w:before="156" w:afterLines="50" w:after="156"/>
        <w:rPr>
          <w:rFonts w:ascii="黑体" w:eastAsia="黑体"/>
        </w:rPr>
      </w:pPr>
      <w:bookmarkStart w:id="116" w:name="_Toc161302662"/>
      <w:r>
        <w:rPr>
          <w:rFonts w:ascii="黑体" w:eastAsia="黑体" w:hint="eastAsia"/>
        </w:rPr>
        <w:t>出资瑕疵</w:t>
      </w:r>
      <w:bookmarkEnd w:id="116"/>
    </w:p>
    <w:p w14:paraId="263B41BF" w14:textId="77777777" w:rsidR="009D5D3B" w:rsidRDefault="00000000">
      <w:pPr>
        <w:pStyle w:val="afff3"/>
        <w:numPr>
          <w:ilvl w:val="3"/>
          <w:numId w:val="0"/>
        </w:numPr>
        <w:ind w:firstLineChars="200" w:firstLine="420"/>
      </w:pPr>
      <w:r>
        <w:rPr>
          <w:rFonts w:hint="eastAsia"/>
        </w:rPr>
        <w:t>企业的股东以知识产权作价出资的，企业应核查该知识产权来源是否合规、价值评估是否合理。</w:t>
      </w:r>
    </w:p>
    <w:p w14:paraId="4A56096A" w14:textId="77777777" w:rsidR="009D5D3B" w:rsidRDefault="00000000">
      <w:pPr>
        <w:pStyle w:val="afff3"/>
        <w:numPr>
          <w:ilvl w:val="3"/>
          <w:numId w:val="0"/>
        </w:numPr>
        <w:ind w:firstLineChars="200" w:firstLine="420"/>
      </w:pPr>
      <w:r>
        <w:rPr>
          <w:rFonts w:hint="eastAsia"/>
        </w:rPr>
        <w:t>如存在与出资相关的瑕疵，特别是可能对知识产权造成影响的情况，企业应披露出资证明、审计报告、法律意见书及瑕疵的详细说明等相关文件。</w:t>
      </w:r>
    </w:p>
    <w:p w14:paraId="61B3F6DB" w14:textId="77777777" w:rsidR="009D5D3B" w:rsidRDefault="00000000">
      <w:pPr>
        <w:pStyle w:val="afff3"/>
        <w:spacing w:beforeLines="50" w:before="156" w:afterLines="50" w:after="156"/>
        <w:rPr>
          <w:rFonts w:ascii="黑体" w:eastAsia="黑体"/>
        </w:rPr>
      </w:pPr>
      <w:bookmarkStart w:id="117" w:name="_Toc161302663"/>
      <w:r>
        <w:rPr>
          <w:rFonts w:ascii="黑体" w:eastAsia="黑体" w:hint="eastAsia"/>
        </w:rPr>
        <w:t>争议、诉讼或仲裁</w:t>
      </w:r>
      <w:bookmarkEnd w:id="117"/>
    </w:p>
    <w:p w14:paraId="5012171C" w14:textId="77777777" w:rsidR="009D5D3B" w:rsidRDefault="00000000">
      <w:pPr>
        <w:pStyle w:val="afff3"/>
        <w:numPr>
          <w:ilvl w:val="3"/>
          <w:numId w:val="0"/>
        </w:numPr>
        <w:ind w:firstLineChars="200" w:firstLine="420"/>
      </w:pPr>
      <w:r>
        <w:rPr>
          <w:rFonts w:hint="eastAsia"/>
        </w:rPr>
        <w:t>对于形成核心技术和应用于主营业务的核心专利、核心商标等知识产权，企业应当核查是否存在明显的权属争议、被提起无效请求或撤销等潜在确权争议。对于已经存在权属争议、专利无效、商标撤销或无效等纠纷的核心知识产权，应当及时评估其对主营业务的持续经营是否存在重大不利影响。</w:t>
      </w:r>
    </w:p>
    <w:p w14:paraId="610D680F" w14:textId="77777777" w:rsidR="009D5D3B" w:rsidRDefault="00000000">
      <w:pPr>
        <w:pStyle w:val="afff3"/>
        <w:numPr>
          <w:ilvl w:val="3"/>
          <w:numId w:val="0"/>
        </w:numPr>
        <w:ind w:firstLineChars="200" w:firstLine="420"/>
      </w:pPr>
      <w:r>
        <w:rPr>
          <w:rFonts w:hint="eastAsia"/>
        </w:rPr>
        <w:t>如存在涉及主要产品、核心商标、专利、技术等方面的争议、诉讼或仲裁案件，企业应披露案件的基本情况和可能的影响，并做恰当的风险提示。企业宜提供法院判决书、仲裁裁决书等相关法律文件。</w:t>
      </w:r>
    </w:p>
    <w:p w14:paraId="5A5DEDF3" w14:textId="77777777" w:rsidR="009D5D3B" w:rsidRDefault="00000000">
      <w:pPr>
        <w:pStyle w:val="afff3"/>
        <w:spacing w:beforeLines="50" w:before="156" w:afterLines="50" w:after="156"/>
        <w:rPr>
          <w:rFonts w:ascii="黑体" w:eastAsia="黑体"/>
        </w:rPr>
      </w:pPr>
      <w:bookmarkStart w:id="118" w:name="_Toc161302664"/>
      <w:r>
        <w:rPr>
          <w:rFonts w:ascii="黑体" w:eastAsia="黑体" w:hint="eastAsia"/>
        </w:rPr>
        <w:t>资产完整性</w:t>
      </w:r>
      <w:bookmarkEnd w:id="118"/>
    </w:p>
    <w:p w14:paraId="607E6FB2" w14:textId="77777777" w:rsidR="009D5D3B" w:rsidRDefault="00000000">
      <w:pPr>
        <w:pStyle w:val="afff3"/>
        <w:numPr>
          <w:ilvl w:val="3"/>
          <w:numId w:val="0"/>
        </w:numPr>
        <w:ind w:firstLineChars="200" w:firstLine="420"/>
      </w:pPr>
      <w:r>
        <w:rPr>
          <w:rFonts w:hint="eastAsia"/>
        </w:rPr>
        <w:t>企业应披露知识产权资产权属证明，确保权利归属清晰，权利内容完整、独立。如存在权属争议或权利受限，应披露相关情形和可能影响企业持续经营或可能发生重大不利变化的情形。</w:t>
      </w:r>
    </w:p>
    <w:p w14:paraId="6D8FF97F" w14:textId="77777777" w:rsidR="009D5D3B" w:rsidRDefault="00000000">
      <w:pPr>
        <w:pStyle w:val="afff3"/>
        <w:numPr>
          <w:ilvl w:val="3"/>
          <w:numId w:val="0"/>
        </w:numPr>
        <w:ind w:firstLineChars="200" w:firstLine="420"/>
      </w:pPr>
      <w:r>
        <w:rPr>
          <w:rFonts w:hint="eastAsia"/>
        </w:rPr>
        <w:t>如存在企业商标、版权、专利来自控股股东、实际控制人授权使用的，企业宜提供知识产权授权、登记、核准、注册、续期及许可使用登记等手续的完成证明文件，明确授权使用的类型、费用，能否确保长期使用的分析说明，及今后的处置方案，是否有重大不利影响的分析说明等，披露知识产权资产的完整性情况并提供法律意见书，同时应披露控股股东持有该知识产权是否构成同业竞争等不利影响。</w:t>
      </w:r>
    </w:p>
    <w:p w14:paraId="47636450" w14:textId="77777777" w:rsidR="009D5D3B" w:rsidRDefault="00000000">
      <w:pPr>
        <w:pStyle w:val="afff3"/>
        <w:numPr>
          <w:ilvl w:val="3"/>
          <w:numId w:val="0"/>
        </w:numPr>
        <w:ind w:firstLineChars="200" w:firstLine="420"/>
      </w:pPr>
      <w:r>
        <w:rPr>
          <w:rFonts w:hint="eastAsia"/>
        </w:rPr>
        <w:t>若企业知识产权存在质押、对外许可等限制，企业宜评估并披露相关限制或权利瑕疵对企业对立性的影响、是否会对企业持续经营有重大不利影响。</w:t>
      </w:r>
    </w:p>
    <w:p w14:paraId="4B0C2F8C" w14:textId="77777777" w:rsidR="009D5D3B" w:rsidRDefault="00000000">
      <w:pPr>
        <w:pStyle w:val="afff3"/>
        <w:spacing w:beforeLines="50" w:before="156" w:afterLines="50" w:after="156"/>
        <w:rPr>
          <w:rFonts w:ascii="黑体" w:eastAsia="黑体"/>
        </w:rPr>
      </w:pPr>
      <w:bookmarkStart w:id="119" w:name="_Toc161302665"/>
      <w:r>
        <w:rPr>
          <w:rFonts w:ascii="黑体" w:eastAsia="黑体" w:hint="eastAsia"/>
        </w:rPr>
        <w:t>关键人员及其变动</w:t>
      </w:r>
      <w:bookmarkEnd w:id="119"/>
    </w:p>
    <w:p w14:paraId="2D88E993" w14:textId="77777777" w:rsidR="009D5D3B" w:rsidRDefault="00000000">
      <w:pPr>
        <w:pStyle w:val="afff3"/>
        <w:numPr>
          <w:ilvl w:val="3"/>
          <w:numId w:val="0"/>
        </w:numPr>
        <w:ind w:firstLineChars="200" w:firstLine="420"/>
      </w:pPr>
      <w:r>
        <w:rPr>
          <w:rFonts w:hint="eastAsia"/>
        </w:rPr>
        <w:t>企业应披露董事、监事、高级管理人员和核心技术人员及变动情况、原因及影响，宜提供核心技术人员的定义、范围及认定标准等。企业宜披露核心技术人员专业、从业经历、研发的贡献情况、与企业知识产权的对应关系，以及新引进核心技术人员的竞业限制、职务发明情况是否存在潜在风险等信息。</w:t>
      </w:r>
    </w:p>
    <w:p w14:paraId="78756C77" w14:textId="77777777" w:rsidR="009D5D3B" w:rsidRDefault="00000000">
      <w:pPr>
        <w:pStyle w:val="afff3"/>
        <w:spacing w:beforeLines="50" w:before="156" w:afterLines="50" w:after="156"/>
        <w:rPr>
          <w:rFonts w:ascii="黑体" w:eastAsia="黑体"/>
        </w:rPr>
      </w:pPr>
      <w:bookmarkStart w:id="120" w:name="_Toc161302666"/>
      <w:r>
        <w:rPr>
          <w:rFonts w:ascii="黑体" w:eastAsia="黑体" w:hint="eastAsia"/>
        </w:rPr>
        <w:t>募集资金用途</w:t>
      </w:r>
      <w:bookmarkEnd w:id="120"/>
    </w:p>
    <w:p w14:paraId="4BCEF6AF" w14:textId="77777777" w:rsidR="009D5D3B" w:rsidRDefault="00000000">
      <w:pPr>
        <w:pStyle w:val="afff3"/>
        <w:numPr>
          <w:ilvl w:val="3"/>
          <w:numId w:val="0"/>
        </w:numPr>
        <w:ind w:firstLineChars="200" w:firstLine="420"/>
      </w:pPr>
      <w:r>
        <w:rPr>
          <w:rFonts w:hint="eastAsia"/>
        </w:rPr>
        <w:t>企业宜提供资金使用计划书、预算报告、投资报告、与现有业务关系的说明、与核心技术关系的说明等，明确募集资金的具体用途，尤其是与知识产权创造、保护和运用相关的计划。</w:t>
      </w:r>
    </w:p>
    <w:p w14:paraId="5DDA6F50" w14:textId="77777777" w:rsidR="009D5D3B" w:rsidRDefault="00000000">
      <w:pPr>
        <w:pStyle w:val="afff3"/>
        <w:spacing w:beforeLines="50" w:before="156" w:afterLines="50" w:after="156"/>
        <w:rPr>
          <w:rFonts w:ascii="黑体" w:eastAsia="黑体"/>
        </w:rPr>
      </w:pPr>
      <w:bookmarkStart w:id="121" w:name="_Toc161302667"/>
      <w:r>
        <w:rPr>
          <w:rFonts w:ascii="黑体" w:eastAsia="黑体" w:hint="eastAsia"/>
        </w:rPr>
        <w:lastRenderedPageBreak/>
        <w:t>合作研发</w:t>
      </w:r>
      <w:bookmarkEnd w:id="121"/>
    </w:p>
    <w:p w14:paraId="1FED44CE" w14:textId="77777777" w:rsidR="009D5D3B" w:rsidRDefault="00000000">
      <w:pPr>
        <w:pStyle w:val="afff3"/>
        <w:numPr>
          <w:ilvl w:val="3"/>
          <w:numId w:val="0"/>
        </w:numPr>
        <w:ind w:firstLineChars="200" w:firstLine="420"/>
      </w:pPr>
      <w:r>
        <w:rPr>
          <w:rFonts w:hint="eastAsia"/>
        </w:rPr>
        <w:t>企业宜提供合作协议、项目规划文件等，详细披露合作研发项目的相关信息，包括内容范围、合作方权利义务、风险责任承担方式、成果分配、收益分成和保密措施。企业应确保相关信息披露不违反保密义务或取得合作方同意。</w:t>
      </w:r>
    </w:p>
    <w:p w14:paraId="6C754629" w14:textId="77777777" w:rsidR="009D5D3B" w:rsidRDefault="00000000">
      <w:pPr>
        <w:pStyle w:val="afff3"/>
        <w:numPr>
          <w:ilvl w:val="3"/>
          <w:numId w:val="0"/>
        </w:numPr>
        <w:ind w:firstLineChars="200" w:firstLine="420"/>
      </w:pPr>
      <w:r>
        <w:rPr>
          <w:rFonts w:hint="eastAsia"/>
        </w:rPr>
        <w:t>若研发成果共有，企业</w:t>
      </w:r>
      <w:r>
        <w:t>应核查其在权利行使、收益分配、后续开发等方面的权利和义务是否清晰、合理，</w:t>
      </w:r>
      <w:r>
        <w:rPr>
          <w:rFonts w:hint="eastAsia"/>
        </w:rPr>
        <w:t>宜</w:t>
      </w:r>
      <w:r>
        <w:t>评估</w:t>
      </w:r>
      <w:r>
        <w:rPr>
          <w:rFonts w:hint="eastAsia"/>
        </w:rPr>
        <w:t>并披露</w:t>
      </w:r>
      <w:r>
        <w:t>对生产经营尤其是主营业务的影响。</w:t>
      </w:r>
    </w:p>
    <w:p w14:paraId="6A117CFE" w14:textId="77777777" w:rsidR="009D5D3B" w:rsidRDefault="00000000">
      <w:pPr>
        <w:pStyle w:val="afff3"/>
        <w:spacing w:beforeLines="50" w:before="156" w:afterLines="50" w:after="156"/>
        <w:rPr>
          <w:rFonts w:ascii="黑体" w:eastAsia="黑体"/>
        </w:rPr>
      </w:pPr>
      <w:bookmarkStart w:id="122" w:name="_Toc161302668"/>
      <w:r>
        <w:rPr>
          <w:rFonts w:ascii="黑体" w:eastAsia="黑体" w:hint="eastAsia"/>
        </w:rPr>
        <w:t>专利及技术许可</w:t>
      </w:r>
      <w:bookmarkEnd w:id="122"/>
    </w:p>
    <w:p w14:paraId="3BF4FDE8" w14:textId="77777777" w:rsidR="009D5D3B" w:rsidRDefault="00000000">
      <w:pPr>
        <w:pStyle w:val="afff3"/>
        <w:numPr>
          <w:ilvl w:val="3"/>
          <w:numId w:val="0"/>
        </w:numPr>
        <w:ind w:firstLineChars="200" w:firstLine="420"/>
      </w:pPr>
      <w:r>
        <w:rPr>
          <w:rFonts w:hint="eastAsia"/>
        </w:rPr>
        <w:t>企业宜提供技术许可协议、专利证书等，详细披露继受取得或与他人共用的专利、技术许可情况及其影响，包括许可范围、期限、费用、改进的技术成果归属、可持续性使用等。</w:t>
      </w:r>
    </w:p>
    <w:p w14:paraId="40BD7AC2" w14:textId="77777777" w:rsidR="009D5D3B" w:rsidRDefault="00000000">
      <w:pPr>
        <w:pStyle w:val="afff3"/>
        <w:spacing w:beforeLines="50" w:before="156" w:afterLines="50" w:after="156"/>
        <w:rPr>
          <w:rFonts w:ascii="黑体" w:eastAsia="黑体"/>
        </w:rPr>
      </w:pPr>
      <w:bookmarkStart w:id="123" w:name="_Toc161302669"/>
      <w:r>
        <w:rPr>
          <w:rFonts w:ascii="黑体" w:eastAsia="黑体" w:hint="eastAsia"/>
        </w:rPr>
        <w:t>发行人曾经申报IPO</w:t>
      </w:r>
      <w:bookmarkEnd w:id="123"/>
    </w:p>
    <w:p w14:paraId="401B3746" w14:textId="77777777" w:rsidR="009D5D3B" w:rsidRDefault="00000000">
      <w:pPr>
        <w:pStyle w:val="afff3"/>
        <w:numPr>
          <w:ilvl w:val="3"/>
          <w:numId w:val="0"/>
        </w:numPr>
        <w:ind w:firstLineChars="200" w:firstLine="420"/>
      </w:pPr>
      <w:r>
        <w:rPr>
          <w:rFonts w:hint="eastAsia"/>
        </w:rPr>
        <w:t>若适用，企业宜提供之前IPO申报的相关文件和分析报告等，说明未成功申报的知识产权因素及本次申报前的整改落实情况。</w:t>
      </w:r>
    </w:p>
    <w:p w14:paraId="6F244740" w14:textId="77777777" w:rsidR="009D5D3B" w:rsidRDefault="00000000">
      <w:pPr>
        <w:pStyle w:val="aa"/>
        <w:spacing w:before="156" w:after="156"/>
      </w:pPr>
      <w:bookmarkStart w:id="124" w:name="_Toc29624"/>
      <w:bookmarkStart w:id="125" w:name="_Toc11549"/>
      <w:r>
        <w:rPr>
          <w:rFonts w:hint="eastAsia"/>
        </w:rPr>
        <w:t>财务类</w:t>
      </w:r>
      <w:bookmarkEnd w:id="124"/>
      <w:bookmarkEnd w:id="125"/>
    </w:p>
    <w:p w14:paraId="5DCE65BF" w14:textId="77777777" w:rsidR="009D5D3B" w:rsidRDefault="00000000">
      <w:pPr>
        <w:pStyle w:val="afff3"/>
        <w:spacing w:beforeLines="50" w:before="156" w:afterLines="50" w:after="156"/>
        <w:rPr>
          <w:rFonts w:ascii="黑体" w:eastAsia="黑体"/>
        </w:rPr>
      </w:pPr>
      <w:bookmarkStart w:id="126" w:name="_Toc161302671"/>
      <w:r>
        <w:rPr>
          <w:rFonts w:ascii="黑体" w:eastAsia="黑体" w:hint="eastAsia"/>
        </w:rPr>
        <w:t>知识产权识别</w:t>
      </w:r>
      <w:bookmarkEnd w:id="126"/>
    </w:p>
    <w:p w14:paraId="52224832" w14:textId="77777777" w:rsidR="009D5D3B" w:rsidRDefault="00000000">
      <w:pPr>
        <w:pStyle w:val="afff3"/>
        <w:numPr>
          <w:ilvl w:val="3"/>
          <w:numId w:val="0"/>
        </w:numPr>
        <w:ind w:firstLineChars="200" w:firstLine="420"/>
      </w:pPr>
      <w:r>
        <w:rPr>
          <w:rFonts w:hint="eastAsia"/>
        </w:rPr>
        <w:t>若存在企业合并中识别并确认知识产权，以及将客户资源或客户关系确认为知识产权等情形，企业宜提供以下资料：</w:t>
      </w:r>
    </w:p>
    <w:p w14:paraId="08389104" w14:textId="77777777" w:rsidR="009D5D3B" w:rsidRDefault="00000000">
      <w:pPr>
        <w:pStyle w:val="a0"/>
        <w:numPr>
          <w:ilvl w:val="0"/>
          <w:numId w:val="13"/>
        </w:numPr>
        <w:ind w:leftChars="200" w:left="840" w:hangingChars="200" w:hanging="420"/>
      </w:pPr>
      <w:r>
        <w:rPr>
          <w:rFonts w:hint="eastAsia"/>
        </w:rPr>
        <w:t>知识产权的内容：客体、类型、权属证明；</w:t>
      </w:r>
    </w:p>
    <w:p w14:paraId="7D1FFAAD" w14:textId="77777777" w:rsidR="009D5D3B" w:rsidRDefault="00000000">
      <w:pPr>
        <w:pStyle w:val="a0"/>
        <w:numPr>
          <w:ilvl w:val="0"/>
          <w:numId w:val="13"/>
        </w:numPr>
        <w:ind w:leftChars="200" w:left="840" w:hangingChars="200" w:hanging="420"/>
      </w:pPr>
      <w:r>
        <w:rPr>
          <w:rFonts w:hint="eastAsia"/>
        </w:rPr>
        <w:t>识别或确认依据：确认的证据以及可计量、可确认的条件，阐述确认依据的充分性；</w:t>
      </w:r>
    </w:p>
    <w:p w14:paraId="4EE0AFD7" w14:textId="77777777" w:rsidR="009D5D3B" w:rsidRDefault="00000000">
      <w:pPr>
        <w:pStyle w:val="a0"/>
        <w:numPr>
          <w:ilvl w:val="0"/>
          <w:numId w:val="13"/>
        </w:numPr>
        <w:ind w:leftChars="200" w:left="840" w:hangingChars="200" w:hanging="420"/>
      </w:pPr>
      <w:r>
        <w:rPr>
          <w:rFonts w:hint="eastAsia"/>
        </w:rPr>
        <w:t>来源：知识产权的形成过程或来源证明；</w:t>
      </w:r>
    </w:p>
    <w:p w14:paraId="1CC6A1A6" w14:textId="77777777" w:rsidR="009D5D3B" w:rsidRDefault="00000000">
      <w:pPr>
        <w:pStyle w:val="a0"/>
        <w:numPr>
          <w:ilvl w:val="0"/>
          <w:numId w:val="13"/>
        </w:numPr>
        <w:ind w:leftChars="200" w:left="840" w:hangingChars="200" w:hanging="420"/>
      </w:pPr>
      <w:r>
        <w:rPr>
          <w:rFonts w:hint="eastAsia"/>
        </w:rPr>
        <w:t>收益：报告期内收益、收益稳定性、未来收益情况报告；</w:t>
      </w:r>
    </w:p>
    <w:p w14:paraId="0B342F48" w14:textId="77777777" w:rsidR="009D5D3B" w:rsidRDefault="00000000">
      <w:pPr>
        <w:pStyle w:val="a0"/>
        <w:numPr>
          <w:ilvl w:val="0"/>
          <w:numId w:val="13"/>
        </w:numPr>
        <w:ind w:leftChars="200" w:left="840" w:hangingChars="200" w:hanging="420"/>
      </w:pPr>
      <w:r>
        <w:rPr>
          <w:rFonts w:hint="eastAsia"/>
        </w:rPr>
        <w:t>价值：知识产权现存价值及价值风险，如适用第三方机构估值，应附加评估报告。</w:t>
      </w:r>
    </w:p>
    <w:p w14:paraId="6C0685B1" w14:textId="77777777" w:rsidR="009D5D3B" w:rsidRDefault="00000000">
      <w:pPr>
        <w:pStyle w:val="afff3"/>
        <w:numPr>
          <w:ilvl w:val="3"/>
          <w:numId w:val="0"/>
        </w:numPr>
        <w:ind w:firstLineChars="200" w:firstLine="420"/>
      </w:pPr>
      <w:r>
        <w:rPr>
          <w:rFonts w:hint="eastAsia"/>
        </w:rPr>
        <w:t>企业应披露知识产权的稳定性情况，特别是从授权要求较低国家获得授权的涉外专利的稳定性及相应知识产权在企业产业化应用方面的实质作用。</w:t>
      </w:r>
    </w:p>
    <w:p w14:paraId="5143BB67" w14:textId="77777777" w:rsidR="009D5D3B" w:rsidRDefault="00000000">
      <w:pPr>
        <w:pStyle w:val="afff3"/>
        <w:spacing w:beforeLines="50" w:before="156" w:afterLines="50" w:after="156"/>
        <w:rPr>
          <w:rFonts w:ascii="黑体" w:eastAsia="黑体"/>
        </w:rPr>
      </w:pPr>
      <w:bookmarkStart w:id="127" w:name="_Toc161302672"/>
      <w:r>
        <w:rPr>
          <w:rFonts w:ascii="黑体" w:eastAsia="黑体" w:hint="eastAsia"/>
        </w:rPr>
        <w:t>研发支出资本化</w:t>
      </w:r>
      <w:bookmarkEnd w:id="127"/>
    </w:p>
    <w:p w14:paraId="2E795209" w14:textId="77777777" w:rsidR="009D5D3B" w:rsidRDefault="00000000">
      <w:pPr>
        <w:pStyle w:val="afff3"/>
        <w:numPr>
          <w:ilvl w:val="3"/>
          <w:numId w:val="0"/>
        </w:numPr>
        <w:ind w:firstLineChars="200" w:firstLine="420"/>
      </w:pPr>
      <w:r>
        <w:rPr>
          <w:rFonts w:hint="eastAsia"/>
        </w:rPr>
        <w:t>若存在，企业宜披露研发支出资本化的具体项目、资本化依据、时间及金额，宜包含以下资料：</w:t>
      </w:r>
    </w:p>
    <w:p w14:paraId="7F4CE128" w14:textId="77777777" w:rsidR="009D5D3B" w:rsidRDefault="00000000">
      <w:pPr>
        <w:pStyle w:val="a0"/>
        <w:numPr>
          <w:ilvl w:val="0"/>
          <w:numId w:val="14"/>
        </w:numPr>
        <w:ind w:leftChars="200" w:left="840" w:hangingChars="200" w:hanging="420"/>
      </w:pPr>
      <w:r>
        <w:rPr>
          <w:rFonts w:hint="eastAsia"/>
        </w:rPr>
        <w:t>基本情况：提供相关会计政策，阐述项目的研究内容、进度、成果、完成时间（预计完成时间）、经济利益产生方式（预计产生方式）、当期和累计资本化金额、主要支出构成、资本化的起始点和确定依据等并提供证明文件；</w:t>
      </w:r>
    </w:p>
    <w:p w14:paraId="4366BD15" w14:textId="77777777" w:rsidR="009D5D3B" w:rsidRDefault="00000000">
      <w:pPr>
        <w:pStyle w:val="a0"/>
        <w:numPr>
          <w:ilvl w:val="0"/>
          <w:numId w:val="14"/>
        </w:numPr>
        <w:ind w:leftChars="200" w:left="840" w:hangingChars="200" w:hanging="420"/>
      </w:pPr>
      <w:r>
        <w:rPr>
          <w:rFonts w:hint="eastAsia"/>
        </w:rPr>
        <w:t>资产分析：阐述相关知识产权资产的预计使用寿命、摊销方法、减值等情况合规性与合理性。</w:t>
      </w:r>
    </w:p>
    <w:p w14:paraId="5770AAB7" w14:textId="77777777" w:rsidR="009D5D3B" w:rsidRDefault="00000000">
      <w:pPr>
        <w:pStyle w:val="afff3"/>
        <w:spacing w:beforeLines="50" w:before="156" w:afterLines="50" w:after="156"/>
        <w:rPr>
          <w:rFonts w:ascii="黑体" w:eastAsia="黑体"/>
        </w:rPr>
      </w:pPr>
      <w:bookmarkStart w:id="128" w:name="_Toc161302673"/>
      <w:r>
        <w:rPr>
          <w:rFonts w:ascii="黑体" w:eastAsia="黑体" w:hint="eastAsia"/>
        </w:rPr>
        <w:t>科研项目相关政府补助</w:t>
      </w:r>
      <w:bookmarkEnd w:id="128"/>
    </w:p>
    <w:p w14:paraId="18521163" w14:textId="77777777" w:rsidR="009D5D3B" w:rsidRDefault="00000000">
      <w:pPr>
        <w:pStyle w:val="afff3"/>
        <w:numPr>
          <w:ilvl w:val="3"/>
          <w:numId w:val="0"/>
        </w:numPr>
        <w:ind w:firstLineChars="200" w:firstLine="420"/>
      </w:pPr>
      <w:r>
        <w:rPr>
          <w:rFonts w:hint="eastAsia"/>
        </w:rPr>
        <w:t>企业应披露相关科研项目的名称、类别、实施周期、总预算及其中的财政预算金额、计入当期收益和经常性损益的政府补助金额等内容。宜提供获取政府补助的政策依据及证明，阐述补助条件、补助形式、与企业日常活动的相关性，以及补助费用的使用情况与补助目的、科研项目成果归属约定等并提供证明文件。</w:t>
      </w:r>
    </w:p>
    <w:p w14:paraId="1F71D3D1" w14:textId="77777777" w:rsidR="009D5D3B" w:rsidRDefault="00000000">
      <w:pPr>
        <w:pStyle w:val="afff3"/>
        <w:spacing w:beforeLines="50" w:before="156" w:afterLines="50" w:after="156"/>
        <w:rPr>
          <w:rFonts w:ascii="黑体" w:eastAsia="黑体"/>
        </w:rPr>
      </w:pPr>
      <w:bookmarkStart w:id="129" w:name="_Toc161302674"/>
      <w:r>
        <w:rPr>
          <w:rFonts w:ascii="黑体" w:eastAsia="黑体" w:hint="eastAsia"/>
        </w:rPr>
        <w:t>持续经营能力</w:t>
      </w:r>
      <w:bookmarkEnd w:id="129"/>
    </w:p>
    <w:p w14:paraId="6CD7AC06" w14:textId="77777777" w:rsidR="009D5D3B" w:rsidRDefault="00000000">
      <w:pPr>
        <w:pStyle w:val="afff3"/>
        <w:numPr>
          <w:ilvl w:val="3"/>
          <w:numId w:val="0"/>
        </w:numPr>
        <w:ind w:firstLineChars="200" w:firstLine="420"/>
      </w:pPr>
      <w:r>
        <w:rPr>
          <w:rFonts w:hint="eastAsia"/>
        </w:rPr>
        <w:t>若企业因自身知识产权因素影响存在重大不利变化风险，宜披露以下内容：</w:t>
      </w:r>
    </w:p>
    <w:p w14:paraId="28EF5DBD" w14:textId="77777777" w:rsidR="009D5D3B" w:rsidRDefault="00000000">
      <w:pPr>
        <w:pStyle w:val="a0"/>
        <w:numPr>
          <w:ilvl w:val="0"/>
          <w:numId w:val="15"/>
        </w:numPr>
        <w:ind w:leftChars="200" w:left="840" w:hangingChars="200" w:hanging="420"/>
      </w:pPr>
      <w:r>
        <w:rPr>
          <w:rFonts w:hint="eastAsia"/>
        </w:rPr>
        <w:lastRenderedPageBreak/>
        <w:t>相关因素：阐述对企业持续经营能力有重大影响的关键因素，如企业工艺过时、产品落后、技术更迭、研发失败，以及商标、版权、专利、专有技术等重要资产或技术涉重大纠纷或诉讼等情形；</w:t>
      </w:r>
    </w:p>
    <w:p w14:paraId="01EBE35F" w14:textId="77777777" w:rsidR="009D5D3B" w:rsidRDefault="00000000">
      <w:pPr>
        <w:pStyle w:val="a0"/>
        <w:numPr>
          <w:ilvl w:val="0"/>
          <w:numId w:val="15"/>
        </w:numPr>
        <w:ind w:leftChars="200" w:left="840" w:hangingChars="200" w:hanging="420"/>
      </w:pPr>
      <w:r>
        <w:rPr>
          <w:rFonts w:hint="eastAsia"/>
        </w:rPr>
        <w:t>影响程度：阐述相关因素对企业业务、财务、市场占有率、资产价值等方面的实际影响；</w:t>
      </w:r>
    </w:p>
    <w:p w14:paraId="517E6078" w14:textId="77777777" w:rsidR="009D5D3B" w:rsidRDefault="00000000">
      <w:pPr>
        <w:pStyle w:val="a0"/>
        <w:numPr>
          <w:ilvl w:val="0"/>
          <w:numId w:val="15"/>
        </w:numPr>
        <w:ind w:leftChars="200" w:left="840" w:hangingChars="200" w:hanging="420"/>
      </w:pPr>
      <w:r>
        <w:rPr>
          <w:rFonts w:hint="eastAsia"/>
        </w:rPr>
        <w:t>预期结果：通过逐年比较、差异因素量化计算、同行业对比等分析方式，分析相关因素对企业未来财务状况和盈利能力的预期影响结果。</w:t>
      </w:r>
    </w:p>
    <w:p w14:paraId="7847B4D5" w14:textId="77777777" w:rsidR="009D5D3B" w:rsidRDefault="00000000">
      <w:pPr>
        <w:pStyle w:val="afff3"/>
        <w:spacing w:beforeLines="50" w:before="156" w:afterLines="50" w:after="156"/>
        <w:rPr>
          <w:rFonts w:ascii="黑体" w:eastAsia="黑体"/>
        </w:rPr>
      </w:pPr>
      <w:bookmarkStart w:id="130" w:name="_Toc161302675"/>
      <w:r>
        <w:rPr>
          <w:rFonts w:ascii="黑体" w:eastAsia="黑体" w:hint="eastAsia"/>
        </w:rPr>
        <w:t>经销模式</w:t>
      </w:r>
      <w:bookmarkEnd w:id="130"/>
    </w:p>
    <w:p w14:paraId="71F14D08" w14:textId="77777777" w:rsidR="009D5D3B" w:rsidRDefault="00000000">
      <w:pPr>
        <w:pStyle w:val="afff3"/>
        <w:numPr>
          <w:ilvl w:val="3"/>
          <w:numId w:val="0"/>
        </w:numPr>
        <w:ind w:firstLineChars="200" w:firstLine="420"/>
      </w:pPr>
      <w:r>
        <w:rPr>
          <w:rFonts w:hint="eastAsia"/>
        </w:rPr>
        <w:t>若企业与其经销商、经销商的终端客户在知识产权方面存在的特殊关系或业务合作，如经销商使用企业名称或商标，宜提交情况说明、合作协议等。</w:t>
      </w:r>
    </w:p>
    <w:p w14:paraId="51251D46" w14:textId="77777777" w:rsidR="009D5D3B" w:rsidRDefault="00000000">
      <w:pPr>
        <w:pStyle w:val="afff3"/>
        <w:spacing w:beforeLines="50" w:before="156" w:afterLines="50" w:after="156"/>
        <w:rPr>
          <w:rFonts w:ascii="黑体" w:eastAsia="黑体"/>
        </w:rPr>
      </w:pPr>
      <w:bookmarkStart w:id="131" w:name="_Toc161302676"/>
      <w:r>
        <w:rPr>
          <w:rFonts w:ascii="黑体" w:eastAsia="黑体" w:hint="eastAsia"/>
        </w:rPr>
        <w:t>资金流水核查</w:t>
      </w:r>
      <w:bookmarkEnd w:id="131"/>
    </w:p>
    <w:p w14:paraId="17E0D987" w14:textId="77777777" w:rsidR="009D5D3B" w:rsidRDefault="00000000">
      <w:pPr>
        <w:pStyle w:val="afff3"/>
        <w:numPr>
          <w:ilvl w:val="3"/>
          <w:numId w:val="0"/>
        </w:numPr>
        <w:ind w:firstLineChars="200" w:firstLine="420"/>
      </w:pPr>
      <w:r>
        <w:rPr>
          <w:rFonts w:hint="eastAsia"/>
        </w:rPr>
        <w:t>若企业存在大额购买商标、专利技术等无形资产情形，需证明相关交易的商业合理性，宜提交内部决议、购买凭证、价格分析等资料。</w:t>
      </w:r>
    </w:p>
    <w:p w14:paraId="2805D461" w14:textId="77777777" w:rsidR="009D5D3B" w:rsidRDefault="00000000">
      <w:pPr>
        <w:pStyle w:val="afff3"/>
        <w:spacing w:beforeLines="50" w:before="156" w:afterLines="50" w:after="156"/>
        <w:rPr>
          <w:rFonts w:ascii="黑体" w:eastAsia="黑体"/>
        </w:rPr>
      </w:pPr>
      <w:bookmarkStart w:id="132" w:name="_Toc161302677"/>
      <w:r>
        <w:rPr>
          <w:rFonts w:ascii="黑体" w:eastAsia="黑体" w:hint="eastAsia"/>
        </w:rPr>
        <w:t>尚未盈利或最近一期存在累计未弥补亏损</w:t>
      </w:r>
      <w:bookmarkEnd w:id="132"/>
    </w:p>
    <w:p w14:paraId="02B159E5" w14:textId="77777777" w:rsidR="009D5D3B" w:rsidRDefault="00000000">
      <w:pPr>
        <w:pStyle w:val="afff3"/>
        <w:numPr>
          <w:ilvl w:val="3"/>
          <w:numId w:val="0"/>
        </w:numPr>
        <w:ind w:firstLineChars="200" w:firstLine="420"/>
      </w:pPr>
      <w:r>
        <w:rPr>
          <w:rFonts w:hint="eastAsia"/>
        </w:rPr>
        <w:t>若因知识产权因素导致的，企业应披露以下事项：</w:t>
      </w:r>
    </w:p>
    <w:p w14:paraId="68D252B2" w14:textId="77777777" w:rsidR="009D5D3B" w:rsidRDefault="00000000">
      <w:pPr>
        <w:pStyle w:val="a0"/>
        <w:numPr>
          <w:ilvl w:val="0"/>
          <w:numId w:val="16"/>
        </w:numPr>
        <w:ind w:left="0" w:firstLineChars="200" w:firstLine="420"/>
      </w:pPr>
      <w:r>
        <w:rPr>
          <w:rFonts w:hint="eastAsia"/>
        </w:rPr>
        <w:t>相关因素：阐述造成企业报告期内尚未盈利或最近一期存在累积未弥补亏损的有关因素，如行业因素、企业特有因素等；</w:t>
      </w:r>
    </w:p>
    <w:p w14:paraId="67BB72D2" w14:textId="77777777" w:rsidR="009D5D3B" w:rsidRDefault="00000000">
      <w:pPr>
        <w:pStyle w:val="a0"/>
        <w:numPr>
          <w:ilvl w:val="0"/>
          <w:numId w:val="16"/>
        </w:numPr>
        <w:ind w:left="0" w:firstLineChars="200" w:firstLine="420"/>
      </w:pPr>
      <w:r>
        <w:rPr>
          <w:rFonts w:hint="eastAsia"/>
        </w:rPr>
        <w:t>原因分析：应量化分析成因，若因企业特有因素导致的，宜阐述相关因素对盈利的影响，报告期内的变化情况、发展趋势，与报告期内盈利变动的匹配关系；</w:t>
      </w:r>
    </w:p>
    <w:p w14:paraId="1D30D24F" w14:textId="77777777" w:rsidR="009D5D3B" w:rsidRDefault="00000000">
      <w:pPr>
        <w:pStyle w:val="a0"/>
        <w:numPr>
          <w:ilvl w:val="0"/>
          <w:numId w:val="16"/>
        </w:numPr>
        <w:ind w:left="0" w:firstLineChars="200" w:firstLine="420"/>
      </w:pPr>
      <w:r>
        <w:rPr>
          <w:rFonts w:hint="eastAsia"/>
        </w:rPr>
        <w:t>影响分析：阐述相关因素对企业团队稳定、研发投入、生产经营可持续性等方面的影响；</w:t>
      </w:r>
    </w:p>
    <w:p w14:paraId="7500E960" w14:textId="77777777" w:rsidR="009D5D3B" w:rsidRDefault="00000000">
      <w:pPr>
        <w:pStyle w:val="a0"/>
        <w:numPr>
          <w:ilvl w:val="0"/>
          <w:numId w:val="16"/>
        </w:numPr>
        <w:ind w:left="0" w:firstLineChars="200" w:firstLine="420"/>
      </w:pPr>
      <w:r>
        <w:rPr>
          <w:rFonts w:hint="eastAsia"/>
        </w:rPr>
        <w:t>趋势分析：阐述未来业绩相关的前瞻性分析结论、相关预测的假设基础，并作出不确定性声明；</w:t>
      </w:r>
    </w:p>
    <w:p w14:paraId="3F060F6C" w14:textId="77777777" w:rsidR="009D5D3B" w:rsidRDefault="00000000">
      <w:pPr>
        <w:pStyle w:val="a0"/>
        <w:numPr>
          <w:ilvl w:val="0"/>
          <w:numId w:val="16"/>
        </w:numPr>
        <w:ind w:left="0" w:firstLineChars="200" w:firstLine="420"/>
      </w:pPr>
      <w:r>
        <w:rPr>
          <w:rFonts w:hint="eastAsia"/>
        </w:rPr>
        <w:t>风险因素：阐述研发失败风险、人才引进、团队稳定、研发投入等方面受到限制或影响的风险；</w:t>
      </w:r>
    </w:p>
    <w:p w14:paraId="668A6C56" w14:textId="77777777" w:rsidR="009D5D3B" w:rsidRDefault="00000000">
      <w:pPr>
        <w:pStyle w:val="a0"/>
        <w:numPr>
          <w:ilvl w:val="0"/>
          <w:numId w:val="16"/>
        </w:numPr>
        <w:ind w:left="0" w:firstLineChars="200" w:firstLine="420"/>
      </w:pPr>
      <w:r>
        <w:rPr>
          <w:rFonts w:hint="eastAsia"/>
        </w:rPr>
        <w:t>投资者保护措施及承诺：提供企业控股股东、实际控制人和董事、监事、高管、核心技术人员按规定作出的关于减持股份的特殊安排或承诺书。</w:t>
      </w:r>
    </w:p>
    <w:p w14:paraId="676B11BB" w14:textId="77777777" w:rsidR="009D5D3B" w:rsidRDefault="00000000">
      <w:pPr>
        <w:pStyle w:val="afff3"/>
        <w:spacing w:beforeLines="50" w:before="156" w:afterLines="50" w:after="156"/>
        <w:rPr>
          <w:rFonts w:ascii="黑体" w:eastAsia="黑体"/>
        </w:rPr>
      </w:pPr>
      <w:bookmarkStart w:id="133" w:name="_Toc161302678"/>
      <w:r>
        <w:rPr>
          <w:rFonts w:ascii="黑体" w:eastAsia="黑体" w:hint="eastAsia"/>
        </w:rPr>
        <w:t>客户集中</w:t>
      </w:r>
      <w:bookmarkEnd w:id="133"/>
    </w:p>
    <w:p w14:paraId="119421C1" w14:textId="77777777" w:rsidR="009D5D3B" w:rsidRDefault="00000000">
      <w:pPr>
        <w:pStyle w:val="afff3"/>
        <w:numPr>
          <w:ilvl w:val="3"/>
          <w:numId w:val="0"/>
        </w:numPr>
        <w:ind w:firstLineChars="200" w:firstLine="420"/>
      </w:pPr>
      <w:r>
        <w:rPr>
          <w:rFonts w:hint="eastAsia"/>
        </w:rPr>
        <w:t>若企业对单一客户存在重大依赖，宜阐述企业技术路线与行业技术迭代的匹配情况，企业具备开拓其他客户的技术能力以及市场拓展的进展情况，包含与客户的接触洽谈、产品适用与认证、订单情况等。</w:t>
      </w:r>
    </w:p>
    <w:p w14:paraId="7ADFB563" w14:textId="77777777" w:rsidR="009D5D3B" w:rsidRDefault="00000000">
      <w:pPr>
        <w:pStyle w:val="afff3"/>
        <w:spacing w:beforeLines="50" w:before="156" w:afterLines="50" w:after="156"/>
        <w:rPr>
          <w:rFonts w:ascii="黑体" w:eastAsia="黑体"/>
        </w:rPr>
      </w:pPr>
      <w:bookmarkStart w:id="134" w:name="_Toc161302679"/>
      <w:r>
        <w:rPr>
          <w:rFonts w:ascii="黑体" w:eastAsia="黑体" w:hint="eastAsia"/>
        </w:rPr>
        <w:t>投资收益占比</w:t>
      </w:r>
      <w:bookmarkEnd w:id="134"/>
    </w:p>
    <w:p w14:paraId="733E93B8" w14:textId="77777777" w:rsidR="009D5D3B" w:rsidRDefault="00000000">
      <w:pPr>
        <w:pStyle w:val="afff3"/>
        <w:numPr>
          <w:ilvl w:val="3"/>
          <w:numId w:val="0"/>
        </w:numPr>
        <w:ind w:firstLineChars="200" w:firstLine="420"/>
      </w:pPr>
      <w:r>
        <w:rPr>
          <w:rFonts w:hint="eastAsia"/>
        </w:rPr>
        <w:t>若企业来自合并报表范围以外的投资收益占当期合并净利润的比例较高，并且被投资企业主营业务与本企业主营业务具有相关性，应披露以下事项：</w:t>
      </w:r>
    </w:p>
    <w:p w14:paraId="42B5E451" w14:textId="77777777" w:rsidR="009D5D3B" w:rsidRDefault="00000000">
      <w:pPr>
        <w:pStyle w:val="a0"/>
        <w:numPr>
          <w:ilvl w:val="0"/>
          <w:numId w:val="17"/>
        </w:numPr>
        <w:ind w:leftChars="200" w:left="840" w:hangingChars="200" w:hanging="420"/>
      </w:pPr>
      <w:r>
        <w:rPr>
          <w:rFonts w:hint="eastAsia"/>
        </w:rPr>
        <w:t>相关投资的基本情况；</w:t>
      </w:r>
    </w:p>
    <w:p w14:paraId="5704D59C" w14:textId="77777777" w:rsidR="009D5D3B" w:rsidRDefault="00000000">
      <w:pPr>
        <w:pStyle w:val="a0"/>
        <w:numPr>
          <w:ilvl w:val="0"/>
          <w:numId w:val="17"/>
        </w:numPr>
        <w:ind w:leftChars="200" w:left="840" w:hangingChars="200" w:hanging="420"/>
      </w:pPr>
      <w:r>
        <w:rPr>
          <w:rFonts w:hint="eastAsia"/>
        </w:rPr>
        <w:t>对企业的影响；</w:t>
      </w:r>
    </w:p>
    <w:p w14:paraId="6F83A7DF" w14:textId="77777777" w:rsidR="009D5D3B" w:rsidRDefault="00000000">
      <w:pPr>
        <w:pStyle w:val="a0"/>
        <w:numPr>
          <w:ilvl w:val="0"/>
          <w:numId w:val="17"/>
        </w:numPr>
        <w:ind w:leftChars="200" w:left="840" w:hangingChars="200" w:hanging="420"/>
      </w:pPr>
      <w:r>
        <w:rPr>
          <w:rFonts w:hint="eastAsia"/>
        </w:rPr>
        <w:t>企业与被投资企业所属行业、相同领域知识产权申请、类似技术产品情况、上下游关联产业等其他重要信息。</w:t>
      </w:r>
    </w:p>
    <w:p w14:paraId="28CC0CED" w14:textId="77777777" w:rsidR="009D5D3B" w:rsidRDefault="00000000">
      <w:pPr>
        <w:pStyle w:val="afff3"/>
        <w:spacing w:beforeLines="50" w:before="156" w:afterLines="50" w:after="156"/>
        <w:rPr>
          <w:rFonts w:ascii="黑体" w:eastAsia="黑体"/>
        </w:rPr>
      </w:pPr>
      <w:bookmarkStart w:id="135" w:name="_Toc161302680"/>
      <w:r>
        <w:rPr>
          <w:rFonts w:ascii="黑体" w:eastAsia="黑体" w:hint="eastAsia"/>
        </w:rPr>
        <w:t>生产模式主要采用外协加工</w:t>
      </w:r>
      <w:bookmarkEnd w:id="135"/>
    </w:p>
    <w:p w14:paraId="37189DC4" w14:textId="77777777" w:rsidR="009D5D3B" w:rsidRDefault="00000000">
      <w:pPr>
        <w:pStyle w:val="afff3"/>
        <w:numPr>
          <w:ilvl w:val="3"/>
          <w:numId w:val="0"/>
        </w:numPr>
        <w:ind w:firstLineChars="200" w:firstLine="420"/>
      </w:pPr>
      <w:r>
        <w:rPr>
          <w:rFonts w:hint="eastAsia"/>
        </w:rPr>
        <w:t>若适用，企业宜阐述外协加工的主要环节，分析证明其对行业惯例的符合性；若为生产制造企业，还需阐述核心技术在产品生产制造中的运用或体现情况并提供证明。若涉知识产权，宜披露核心技术与知识产权的对应关系。</w:t>
      </w:r>
    </w:p>
    <w:p w14:paraId="46692E7C" w14:textId="77777777" w:rsidR="009D5D3B" w:rsidRDefault="00000000">
      <w:pPr>
        <w:pStyle w:val="afff3"/>
        <w:spacing w:beforeLines="50" w:before="156" w:afterLines="50" w:after="156"/>
        <w:rPr>
          <w:rFonts w:ascii="黑体" w:eastAsia="黑体"/>
        </w:rPr>
      </w:pPr>
      <w:bookmarkStart w:id="136" w:name="_Toc161302681"/>
      <w:r>
        <w:rPr>
          <w:rFonts w:ascii="黑体" w:eastAsia="黑体" w:hint="eastAsia"/>
        </w:rPr>
        <w:lastRenderedPageBreak/>
        <w:t>商誉余额较大</w:t>
      </w:r>
      <w:bookmarkEnd w:id="136"/>
    </w:p>
    <w:p w14:paraId="4C29336C" w14:textId="77777777" w:rsidR="009D5D3B" w:rsidRDefault="00000000">
      <w:pPr>
        <w:pStyle w:val="afff3"/>
        <w:numPr>
          <w:ilvl w:val="3"/>
          <w:numId w:val="0"/>
        </w:numPr>
        <w:ind w:firstLineChars="200" w:firstLine="420"/>
      </w:pPr>
      <w:r>
        <w:rPr>
          <w:rFonts w:hint="eastAsia"/>
        </w:rPr>
        <w:t>企业经营中积累的良好商誉是知识产权重要客体，若企业报告期末因企业合并形成的商誉余额较大，宜提供以下资料：</w:t>
      </w:r>
    </w:p>
    <w:p w14:paraId="63A6910C" w14:textId="77777777" w:rsidR="009D5D3B" w:rsidRDefault="00000000">
      <w:pPr>
        <w:pStyle w:val="a0"/>
        <w:numPr>
          <w:ilvl w:val="0"/>
          <w:numId w:val="18"/>
        </w:numPr>
        <w:ind w:leftChars="200" w:left="840" w:hangingChars="200" w:hanging="420"/>
      </w:pPr>
      <w:r>
        <w:rPr>
          <w:rFonts w:hint="eastAsia"/>
        </w:rPr>
        <w:t>形成原因：阐述商誉形成的过程、确认过程及证明文件；</w:t>
      </w:r>
    </w:p>
    <w:p w14:paraId="081758E6" w14:textId="77777777" w:rsidR="009D5D3B" w:rsidRDefault="00000000">
      <w:pPr>
        <w:pStyle w:val="a0"/>
        <w:numPr>
          <w:ilvl w:val="0"/>
          <w:numId w:val="18"/>
        </w:numPr>
        <w:ind w:leftChars="200" w:left="840" w:hangingChars="200" w:hanging="420"/>
      </w:pPr>
      <w:r>
        <w:rPr>
          <w:rFonts w:hint="eastAsia"/>
        </w:rPr>
        <w:t>变动：阐述商誉的变动情况及证明文件；</w:t>
      </w:r>
    </w:p>
    <w:p w14:paraId="02BA1360" w14:textId="77777777" w:rsidR="009D5D3B" w:rsidRDefault="00000000">
      <w:pPr>
        <w:pStyle w:val="a0"/>
        <w:numPr>
          <w:ilvl w:val="0"/>
          <w:numId w:val="18"/>
        </w:numPr>
        <w:ind w:leftChars="200" w:left="840" w:hangingChars="200" w:hanging="420"/>
      </w:pPr>
      <w:r>
        <w:rPr>
          <w:rFonts w:hint="eastAsia"/>
        </w:rPr>
        <w:t>减值测试依据：阐述商誉减值测试方法、过程、结果、可回收金额的确定方法。</w:t>
      </w:r>
    </w:p>
    <w:p w14:paraId="3785F69C" w14:textId="77777777" w:rsidR="009D5D3B" w:rsidRDefault="00000000">
      <w:pPr>
        <w:pStyle w:val="aa"/>
        <w:spacing w:before="156" w:after="156"/>
      </w:pPr>
      <w:bookmarkStart w:id="137" w:name="_Toc14664"/>
      <w:bookmarkStart w:id="138" w:name="_Toc20773"/>
      <w:bookmarkStart w:id="139" w:name="_Toc837"/>
      <w:bookmarkStart w:id="140" w:name="_Toc2103"/>
      <w:r>
        <w:rPr>
          <w:rFonts w:hint="eastAsia"/>
        </w:rPr>
        <w:t>行业信息披露</w:t>
      </w:r>
      <w:bookmarkEnd w:id="137"/>
      <w:bookmarkEnd w:id="138"/>
      <w:bookmarkEnd w:id="139"/>
      <w:bookmarkEnd w:id="140"/>
    </w:p>
    <w:p w14:paraId="29528303" w14:textId="77777777" w:rsidR="009D5D3B" w:rsidRDefault="00000000">
      <w:pPr>
        <w:pStyle w:val="afff3"/>
        <w:spacing w:beforeLines="50" w:before="156" w:afterLines="50" w:after="156"/>
        <w:rPr>
          <w:rFonts w:ascii="黑体" w:eastAsia="黑体"/>
        </w:rPr>
      </w:pPr>
      <w:bookmarkStart w:id="141" w:name="_Toc161302683"/>
      <w:r>
        <w:rPr>
          <w:rFonts w:ascii="黑体" w:eastAsia="黑体" w:hint="eastAsia"/>
        </w:rPr>
        <w:t>业务竞争情况</w:t>
      </w:r>
      <w:bookmarkEnd w:id="141"/>
    </w:p>
    <w:p w14:paraId="5D78C761" w14:textId="77777777" w:rsidR="009D5D3B" w:rsidRDefault="00000000">
      <w:pPr>
        <w:pStyle w:val="afff3"/>
        <w:numPr>
          <w:ilvl w:val="3"/>
          <w:numId w:val="0"/>
        </w:numPr>
        <w:ind w:firstLineChars="200" w:firstLine="420"/>
      </w:pPr>
      <w:r>
        <w:rPr>
          <w:rFonts w:hint="eastAsia"/>
        </w:rPr>
        <w:t>企业通过披露知识产权信息公开其业务竞争情况时，宜阐述以下内容：</w:t>
      </w:r>
    </w:p>
    <w:p w14:paraId="7D85C467" w14:textId="77777777" w:rsidR="009D5D3B" w:rsidRDefault="00000000">
      <w:pPr>
        <w:pStyle w:val="a0"/>
        <w:numPr>
          <w:ilvl w:val="0"/>
          <w:numId w:val="19"/>
        </w:numPr>
        <w:ind w:leftChars="200" w:left="840" w:hangingChars="200" w:hanging="420"/>
      </w:pPr>
      <w:r>
        <w:rPr>
          <w:rFonts w:hint="eastAsia"/>
        </w:rPr>
        <w:t>行业基本情况：所属行业及确定所属行业的依据等，阐述对企业经营资质、准入门槛、运营模式、行业竞争格局等方面的主要影响；</w:t>
      </w:r>
    </w:p>
    <w:p w14:paraId="0FCCA067" w14:textId="77777777" w:rsidR="009D5D3B" w:rsidRDefault="00000000">
      <w:pPr>
        <w:pStyle w:val="a0"/>
        <w:numPr>
          <w:ilvl w:val="0"/>
          <w:numId w:val="19"/>
        </w:numPr>
        <w:ind w:leftChars="200" w:left="840" w:hangingChars="200" w:hanging="420"/>
      </w:pPr>
      <w:r>
        <w:rPr>
          <w:rFonts w:hint="eastAsia"/>
        </w:rPr>
        <w:t>行业特征分析：所属细分行业技术水平及特点、进入本行业主要壁垒、行业发展态势等，以及上述情况在报告期内变化和未来可预见的变化趋势；</w:t>
      </w:r>
    </w:p>
    <w:p w14:paraId="383241FF" w14:textId="77777777" w:rsidR="009D5D3B" w:rsidRDefault="00000000">
      <w:pPr>
        <w:pStyle w:val="a0"/>
        <w:numPr>
          <w:ilvl w:val="0"/>
          <w:numId w:val="19"/>
        </w:numPr>
        <w:ind w:leftChars="200" w:left="840" w:hangingChars="200" w:hanging="420"/>
      </w:pPr>
      <w:r>
        <w:rPr>
          <w:rFonts w:hint="eastAsia"/>
        </w:rPr>
        <w:t>产业链地位分析：企业在所属产业链中的地位和作用，与上、下游行业之间的关联性；</w:t>
      </w:r>
    </w:p>
    <w:p w14:paraId="7B1A9E69" w14:textId="77777777" w:rsidR="009D5D3B" w:rsidRDefault="00000000">
      <w:pPr>
        <w:pStyle w:val="a0"/>
        <w:numPr>
          <w:ilvl w:val="0"/>
          <w:numId w:val="19"/>
        </w:numPr>
        <w:ind w:leftChars="200" w:left="840" w:hangingChars="200" w:hanging="420"/>
      </w:pPr>
      <w:r>
        <w:rPr>
          <w:rFonts w:hint="eastAsia"/>
        </w:rPr>
        <w:t>行业竞争分析：所属细分行业竞争格局、行业内主要企业，企业产品或服务的市场地位、竞争优势与劣势，企业与同行业可比公司在经营情况、市场地位、技术实力、衡量核心竞争力的关键业务数据和指标、产品性能参数等方面的比较情况；企业同行业可比公司的选择依据及相关业务可比程度；</w:t>
      </w:r>
    </w:p>
    <w:p w14:paraId="473C2CFD" w14:textId="77777777" w:rsidR="009D5D3B" w:rsidRDefault="00000000">
      <w:pPr>
        <w:pStyle w:val="a0"/>
        <w:numPr>
          <w:ilvl w:val="0"/>
          <w:numId w:val="19"/>
        </w:numPr>
        <w:ind w:leftChars="200" w:left="840" w:hangingChars="200" w:hanging="420"/>
      </w:pPr>
      <w:r>
        <w:rPr>
          <w:rFonts w:hint="eastAsia"/>
        </w:rPr>
        <w:t>影响因素分析：披露主要产品或服务特点、业务模式、行业竞争程度、外部市场环境等影响因素时，宜分析相关因素如何影响盈利和财务状况。</w:t>
      </w:r>
    </w:p>
    <w:p w14:paraId="6A96AFB6" w14:textId="77777777" w:rsidR="009D5D3B" w:rsidRDefault="00000000">
      <w:pPr>
        <w:pStyle w:val="afff3"/>
        <w:numPr>
          <w:ilvl w:val="3"/>
          <w:numId w:val="0"/>
        </w:numPr>
        <w:ind w:firstLineChars="200" w:firstLine="420"/>
      </w:pPr>
      <w:r>
        <w:rPr>
          <w:rFonts w:hint="eastAsia"/>
        </w:rPr>
        <w:t>企业描述竞争状况、市场地位及竞争优劣势应有产品或服务及技术的最新市场数据支持。可从生产链、知识产权布局、专利态势分析、具体架构、产品模块、参数等方面运用图表结合数据，分析披露主要产品或服务及技术的竞争优劣势。</w:t>
      </w:r>
    </w:p>
    <w:p w14:paraId="31DFD619" w14:textId="77777777" w:rsidR="009D5D3B" w:rsidRDefault="00000000">
      <w:pPr>
        <w:pStyle w:val="afff3"/>
        <w:spacing w:beforeLines="50" w:before="156" w:afterLines="50" w:after="156"/>
        <w:rPr>
          <w:rFonts w:ascii="黑体" w:eastAsia="黑体"/>
        </w:rPr>
      </w:pPr>
      <w:bookmarkStart w:id="142" w:name="_Toc161302684"/>
      <w:r>
        <w:rPr>
          <w:rFonts w:ascii="黑体" w:eastAsia="黑体" w:hint="eastAsia"/>
        </w:rPr>
        <w:t>行业风险</w:t>
      </w:r>
      <w:bookmarkEnd w:id="142"/>
    </w:p>
    <w:p w14:paraId="73255605" w14:textId="77777777" w:rsidR="009D5D3B" w:rsidRDefault="00000000">
      <w:pPr>
        <w:pStyle w:val="afff3"/>
        <w:numPr>
          <w:ilvl w:val="3"/>
          <w:numId w:val="0"/>
        </w:numPr>
        <w:ind w:firstLineChars="200" w:firstLine="420"/>
      </w:pPr>
      <w:r>
        <w:rPr>
          <w:rFonts w:hint="eastAsia"/>
        </w:rPr>
        <w:t>企业宜阐述当前及未来知识产权方面可能构成重大不利影响的直接风险和间接风险，包含以下内容：</w:t>
      </w:r>
    </w:p>
    <w:p w14:paraId="7A61EEF4" w14:textId="77777777" w:rsidR="009D5D3B" w:rsidRDefault="00000000">
      <w:pPr>
        <w:pStyle w:val="a0"/>
        <w:numPr>
          <w:ilvl w:val="0"/>
          <w:numId w:val="20"/>
        </w:numPr>
        <w:ind w:leftChars="200" w:left="840" w:hangingChars="200" w:hanging="420"/>
      </w:pPr>
      <w:r>
        <w:rPr>
          <w:rFonts w:hint="eastAsia"/>
        </w:rPr>
        <w:t>风险点：企业应使用恰当标题概括具体风险点，阐述每项风险因素的具体情形、产生原因、目前发展阶段和对企业的影响；一项风险因素不得描述多个风险，不得包含风险对策、企业竞争优势及类似表述；</w:t>
      </w:r>
    </w:p>
    <w:p w14:paraId="1A1911A3" w14:textId="77777777" w:rsidR="009D5D3B" w:rsidRDefault="00000000">
      <w:pPr>
        <w:pStyle w:val="a0"/>
        <w:numPr>
          <w:ilvl w:val="0"/>
          <w:numId w:val="20"/>
        </w:numPr>
        <w:ind w:leftChars="200" w:left="840" w:hangingChars="200" w:hanging="420"/>
      </w:pPr>
      <w:r>
        <w:rPr>
          <w:rFonts w:hint="eastAsia"/>
        </w:rPr>
        <w:t>定量分析：风险因素可以定量分析的，应对导致风险的变动性因素作敏感性分析；无法定量分析的，应针对性作定性描述，清晰告知投资者可能发生的最不利情形。</w:t>
      </w:r>
    </w:p>
    <w:p w14:paraId="4EC64B98" w14:textId="77777777" w:rsidR="009D5D3B" w:rsidRDefault="00000000">
      <w:pPr>
        <w:pStyle w:val="afff3"/>
        <w:spacing w:beforeLines="50" w:before="156" w:afterLines="50" w:after="156"/>
        <w:rPr>
          <w:rFonts w:ascii="黑体" w:eastAsia="黑体"/>
        </w:rPr>
      </w:pPr>
      <w:bookmarkStart w:id="143" w:name="_Toc161302685"/>
      <w:r>
        <w:rPr>
          <w:rFonts w:ascii="黑体" w:eastAsia="黑体" w:hint="eastAsia"/>
        </w:rPr>
        <w:t>引用第三方数据</w:t>
      </w:r>
      <w:bookmarkEnd w:id="143"/>
    </w:p>
    <w:p w14:paraId="284ED498" w14:textId="77777777" w:rsidR="009D5D3B" w:rsidRDefault="00000000">
      <w:pPr>
        <w:pStyle w:val="afff3"/>
        <w:numPr>
          <w:ilvl w:val="3"/>
          <w:numId w:val="0"/>
        </w:numPr>
        <w:ind w:firstLineChars="200" w:firstLine="420"/>
      </w:pPr>
      <w:r>
        <w:rPr>
          <w:rFonts w:hint="eastAsia"/>
        </w:rPr>
        <w:t>若适用，宜注明资料来源、引用依据；若来源为第三方定制报告，仍需提供相关协议及证明文件。企业应确保第三方数据的披露不存在知识产权侵权风险。</w:t>
      </w:r>
    </w:p>
    <w:p w14:paraId="733EA4E8" w14:textId="77777777" w:rsidR="009D5D3B" w:rsidRDefault="00000000">
      <w:pPr>
        <w:pStyle w:val="aa"/>
        <w:spacing w:before="156" w:after="156"/>
      </w:pPr>
      <w:bookmarkStart w:id="144" w:name="_Toc9737"/>
      <w:bookmarkStart w:id="145" w:name="_Toc2655"/>
      <w:bookmarkStart w:id="146" w:name="_Toc27322"/>
      <w:r>
        <w:rPr>
          <w:rFonts w:hint="eastAsia"/>
        </w:rPr>
        <w:t>特定类型企业</w:t>
      </w:r>
      <w:bookmarkEnd w:id="144"/>
      <w:bookmarkEnd w:id="145"/>
      <w:bookmarkEnd w:id="146"/>
    </w:p>
    <w:p w14:paraId="45494261" w14:textId="77777777" w:rsidR="009D5D3B" w:rsidRDefault="00000000">
      <w:pPr>
        <w:pStyle w:val="afff3"/>
        <w:numPr>
          <w:ilvl w:val="3"/>
          <w:numId w:val="0"/>
        </w:numPr>
        <w:ind w:firstLineChars="200" w:firstLine="420"/>
      </w:pPr>
      <w:r>
        <w:rPr>
          <w:rFonts w:hint="eastAsia"/>
        </w:rPr>
        <w:t>红筹企业、药品及医疗器械企业、数字经济或互联网平台企业、中小商业银行、涉农企业及转板企业应根据证监会、上交所制定的信息披露规则，参照本文件所列要求进行知识产权信息披露。</w:t>
      </w:r>
    </w:p>
    <w:p w14:paraId="268464DF" w14:textId="77777777" w:rsidR="009D5D3B" w:rsidRDefault="00000000">
      <w:pPr>
        <w:pStyle w:val="afff3"/>
        <w:numPr>
          <w:ilvl w:val="3"/>
          <w:numId w:val="0"/>
        </w:numPr>
        <w:ind w:firstLineChars="200" w:firstLine="420"/>
      </w:pPr>
      <w:r>
        <w:rPr>
          <w:rFonts w:hint="eastAsia"/>
        </w:rPr>
        <w:t>其中，从事药品及医疗器械业务企业，还应根据《公开发行证券的公司信息披露编报规则第25号</w:t>
      </w:r>
      <w:r>
        <w:rPr>
          <w:rFonts w:ascii="黑体" w:eastAsia="黑体" w:hAnsi="黑体" w:cs="黑体" w:hint="eastAsia"/>
        </w:rPr>
        <w:t>——</w:t>
      </w:r>
      <w:r>
        <w:rPr>
          <w:rFonts w:hint="eastAsia"/>
        </w:rPr>
        <w:t>从事药品及医疗器械业务的公司招股说明书内容与格式指引》规定，结合行业特点及自身业务等披</w:t>
      </w:r>
      <w:r>
        <w:rPr>
          <w:rFonts w:hint="eastAsia"/>
        </w:rPr>
        <w:lastRenderedPageBreak/>
        <w:t>露知识产权相关信息，有针对性地揭示风险。</w:t>
      </w:r>
    </w:p>
    <w:bookmarkEnd w:id="72"/>
    <w:bookmarkEnd w:id="73"/>
    <w:bookmarkEnd w:id="74"/>
    <w:bookmarkEnd w:id="75"/>
    <w:p w14:paraId="401E8C7D" w14:textId="77777777" w:rsidR="009D5D3B" w:rsidRDefault="009D5D3B">
      <w:pPr>
        <w:pStyle w:val="affc"/>
        <w:ind w:firstLineChars="0" w:firstLine="0"/>
      </w:pPr>
    </w:p>
    <w:p w14:paraId="6F006A34" w14:textId="77777777" w:rsidR="009D5D3B" w:rsidRDefault="009D5D3B">
      <w:pPr>
        <w:pStyle w:val="affc"/>
      </w:pPr>
    </w:p>
    <w:p w14:paraId="7DF74213" w14:textId="77777777" w:rsidR="009D5D3B" w:rsidRDefault="009D5D3B">
      <w:pPr>
        <w:pStyle w:val="affc"/>
        <w:sectPr w:rsidR="009D5D3B">
          <w:headerReference w:type="even" r:id="rId29"/>
          <w:headerReference w:type="default" r:id="rId30"/>
          <w:footerReference w:type="even" r:id="rId31"/>
          <w:footerReference w:type="default" r:id="rId32"/>
          <w:pgSz w:w="11906" w:h="16838"/>
          <w:pgMar w:top="1417" w:right="1134" w:bottom="1134" w:left="1418" w:header="1417" w:footer="1134" w:gutter="0"/>
          <w:pgNumType w:start="1"/>
          <w:cols w:space="425"/>
          <w:docGrid w:type="lines" w:linePitch="312"/>
        </w:sectPr>
      </w:pPr>
    </w:p>
    <w:p w14:paraId="11AED668" w14:textId="77777777" w:rsidR="009D5D3B" w:rsidRDefault="00000000">
      <w:pPr>
        <w:pStyle w:val="afff7"/>
        <w:spacing w:before="567" w:afterLines="0" w:after="283"/>
        <w:rPr>
          <w:spacing w:val="105"/>
        </w:rPr>
      </w:pPr>
      <w:bookmarkStart w:id="147" w:name="_Toc120179958"/>
      <w:bookmarkStart w:id="148" w:name="_Toc8436"/>
      <w:bookmarkStart w:id="149" w:name="_Toc1516"/>
      <w:r>
        <w:rPr>
          <w:rFonts w:hint="eastAsia"/>
          <w:spacing w:val="105"/>
        </w:rPr>
        <w:lastRenderedPageBreak/>
        <w:t>参考文献</w:t>
      </w:r>
      <w:bookmarkEnd w:id="147"/>
      <w:bookmarkEnd w:id="148"/>
      <w:bookmarkEnd w:id="149"/>
    </w:p>
    <w:p w14:paraId="7B63FEDD" w14:textId="77777777" w:rsidR="009D5D3B" w:rsidRDefault="00000000">
      <w:pPr>
        <w:pStyle w:val="afff2"/>
        <w:numPr>
          <w:ilvl w:val="0"/>
          <w:numId w:val="21"/>
        </w:numPr>
        <w:ind w:firstLine="420"/>
      </w:pPr>
      <w:r>
        <w:rPr>
          <w:rFonts w:hint="eastAsia"/>
        </w:rPr>
        <w:t xml:space="preserve"> GB/T 29490—2023  企业知识产权合规管理体系 要求</w:t>
      </w:r>
    </w:p>
    <w:p w14:paraId="46354F22" w14:textId="77777777" w:rsidR="009D5D3B" w:rsidRDefault="00000000">
      <w:pPr>
        <w:pStyle w:val="afff2"/>
        <w:numPr>
          <w:ilvl w:val="0"/>
          <w:numId w:val="21"/>
        </w:numPr>
        <w:ind w:firstLine="420"/>
      </w:pPr>
      <w:r>
        <w:rPr>
          <w:rFonts w:hint="eastAsia"/>
        </w:rPr>
        <w:t xml:space="preserve"> 中国证券监督管理委员会《首次公开发行股票注册管理办法》（证监会令第205号）</w:t>
      </w:r>
    </w:p>
    <w:p w14:paraId="0629A618" w14:textId="77777777" w:rsidR="009D5D3B" w:rsidRDefault="00000000">
      <w:pPr>
        <w:pStyle w:val="afff2"/>
        <w:numPr>
          <w:ilvl w:val="0"/>
          <w:numId w:val="21"/>
        </w:numPr>
        <w:ind w:firstLine="420"/>
      </w:pPr>
      <w:r>
        <w:rPr>
          <w:rFonts w:hint="eastAsia"/>
        </w:rPr>
        <w:t xml:space="preserve"> 中国证券监督管理委员会《上市公司证券发行注册管理办法》（证监会令第206号）</w:t>
      </w:r>
    </w:p>
    <w:p w14:paraId="06D598ED" w14:textId="77777777" w:rsidR="009D5D3B" w:rsidRDefault="00000000">
      <w:pPr>
        <w:pStyle w:val="afff2"/>
        <w:numPr>
          <w:ilvl w:val="0"/>
          <w:numId w:val="21"/>
        </w:numPr>
        <w:ind w:firstLine="420"/>
      </w:pPr>
      <w:r>
        <w:rPr>
          <w:rFonts w:hint="eastAsia"/>
        </w:rPr>
        <w:t xml:space="preserve"> 中国证券监督管理委员会《公开发行证券的公司信息披露内容与格式准则第57号——招股说明书》（证监会公告〔2023〕4号）</w:t>
      </w:r>
    </w:p>
    <w:p w14:paraId="4B586409" w14:textId="77777777" w:rsidR="009D5D3B" w:rsidRDefault="00000000">
      <w:pPr>
        <w:pStyle w:val="afff2"/>
        <w:numPr>
          <w:ilvl w:val="0"/>
          <w:numId w:val="21"/>
        </w:numPr>
        <w:ind w:firstLine="420"/>
      </w:pPr>
      <w:r>
        <w:rPr>
          <w:rFonts w:hint="eastAsia"/>
        </w:rPr>
        <w:t xml:space="preserve"> 中国证券监督管理委员会《关于修改〈科创属性评价指引（试行）〉的决定》（证监会公告〔2024〕6号）</w:t>
      </w:r>
    </w:p>
    <w:p w14:paraId="19027FFE" w14:textId="77777777" w:rsidR="009D5D3B" w:rsidRDefault="00000000">
      <w:pPr>
        <w:pStyle w:val="afff2"/>
        <w:numPr>
          <w:ilvl w:val="0"/>
          <w:numId w:val="21"/>
        </w:numPr>
        <w:ind w:firstLine="420"/>
      </w:pPr>
      <w:r>
        <w:rPr>
          <w:rFonts w:hint="eastAsia"/>
        </w:rPr>
        <w:t xml:space="preserve"> 中国证券监督管理委员会《监管规则适用指引</w:t>
      </w:r>
      <w:r>
        <w:rPr>
          <w:rFonts w:ascii="黑体" w:eastAsia="黑体" w:hAnsi="黑体" w:cs="黑体" w:hint="eastAsia"/>
        </w:rPr>
        <w:t>——</w:t>
      </w:r>
      <w:r>
        <w:rPr>
          <w:rFonts w:hint="eastAsia"/>
        </w:rPr>
        <w:t>发行类第4号》</w:t>
      </w:r>
    </w:p>
    <w:p w14:paraId="0FF4FB22" w14:textId="77777777" w:rsidR="009D5D3B" w:rsidRDefault="00000000">
      <w:pPr>
        <w:pStyle w:val="afff2"/>
        <w:numPr>
          <w:ilvl w:val="0"/>
          <w:numId w:val="21"/>
        </w:numPr>
        <w:ind w:firstLine="420"/>
      </w:pPr>
      <w:r>
        <w:rPr>
          <w:rFonts w:hint="eastAsia"/>
        </w:rPr>
        <w:t xml:space="preserve"> 中国证券监督管理委员会《监管规则适用指引</w:t>
      </w:r>
      <w:r>
        <w:rPr>
          <w:rFonts w:ascii="黑体" w:eastAsia="黑体" w:hAnsi="黑体" w:cs="黑体" w:hint="eastAsia"/>
        </w:rPr>
        <w:t>——</w:t>
      </w:r>
      <w:r>
        <w:rPr>
          <w:rFonts w:hint="eastAsia"/>
        </w:rPr>
        <w:t>发行类第5号》</w:t>
      </w:r>
    </w:p>
    <w:p w14:paraId="4453023F" w14:textId="77777777" w:rsidR="009D5D3B" w:rsidRDefault="00000000">
      <w:pPr>
        <w:pStyle w:val="afff2"/>
        <w:numPr>
          <w:ilvl w:val="0"/>
          <w:numId w:val="21"/>
        </w:numPr>
        <w:ind w:firstLine="420"/>
      </w:pPr>
      <w:r>
        <w:rPr>
          <w:rFonts w:hint="eastAsia"/>
        </w:rPr>
        <w:t xml:space="preserve"> 中国证券监督管理委员会《监管规则适用指引</w:t>
      </w:r>
      <w:r>
        <w:rPr>
          <w:rFonts w:ascii="黑体" w:eastAsia="黑体" w:hAnsi="黑体" w:cs="黑体" w:hint="eastAsia"/>
        </w:rPr>
        <w:t>——</w:t>
      </w:r>
      <w:r>
        <w:rPr>
          <w:rFonts w:hint="eastAsia"/>
        </w:rPr>
        <w:t>发行类第6号》</w:t>
      </w:r>
    </w:p>
    <w:p w14:paraId="3F89FBE2" w14:textId="77777777" w:rsidR="009D5D3B" w:rsidRDefault="00000000">
      <w:pPr>
        <w:pStyle w:val="afff2"/>
        <w:numPr>
          <w:ilvl w:val="0"/>
          <w:numId w:val="21"/>
        </w:numPr>
        <w:ind w:firstLine="420"/>
      </w:pPr>
      <w:r>
        <w:rPr>
          <w:rFonts w:hint="eastAsia"/>
        </w:rPr>
        <w:t xml:space="preserve"> 中国证券监督管理委员会《监管规则适用指引</w:t>
      </w:r>
      <w:r>
        <w:rPr>
          <w:rFonts w:ascii="黑体" w:eastAsia="黑体" w:hAnsi="黑体" w:cs="黑体" w:hint="eastAsia"/>
        </w:rPr>
        <w:t>——</w:t>
      </w:r>
      <w:r>
        <w:rPr>
          <w:rFonts w:hint="eastAsia"/>
        </w:rPr>
        <w:t>发行类第7号》</w:t>
      </w:r>
    </w:p>
    <w:p w14:paraId="2B90F481" w14:textId="77777777" w:rsidR="009D5D3B" w:rsidRDefault="00000000">
      <w:pPr>
        <w:pStyle w:val="afff2"/>
        <w:numPr>
          <w:ilvl w:val="0"/>
          <w:numId w:val="21"/>
        </w:numPr>
        <w:ind w:firstLine="420"/>
      </w:pPr>
      <w:r>
        <w:rPr>
          <w:rFonts w:hint="eastAsia"/>
        </w:rPr>
        <w:t xml:space="preserve"> 中国证券监督管理委员会《监管规则适用指引</w:t>
      </w:r>
      <w:r>
        <w:rPr>
          <w:rFonts w:ascii="黑体" w:eastAsia="黑体" w:hAnsi="黑体" w:cs="黑体" w:hint="eastAsia"/>
        </w:rPr>
        <w:t>——</w:t>
      </w:r>
      <w:r>
        <w:rPr>
          <w:rFonts w:hint="eastAsia"/>
        </w:rPr>
        <w:t>发行类第9号：研发人员及研发投入》</w:t>
      </w:r>
    </w:p>
    <w:p w14:paraId="7300C5D0" w14:textId="77777777" w:rsidR="009D5D3B" w:rsidRDefault="00000000">
      <w:pPr>
        <w:pStyle w:val="afff2"/>
        <w:numPr>
          <w:ilvl w:val="0"/>
          <w:numId w:val="21"/>
        </w:numPr>
        <w:ind w:firstLine="420"/>
      </w:pPr>
      <w:r>
        <w:rPr>
          <w:rFonts w:hint="eastAsia"/>
        </w:rPr>
        <w:t xml:space="preserve"> 上海证券交易所关于发布《上海证券交易所上市公司自律监管指引第2号</w:t>
      </w:r>
      <w:r>
        <w:rPr>
          <w:rFonts w:ascii="黑体" w:eastAsia="黑体" w:hAnsi="黑体" w:cs="黑体" w:hint="eastAsia"/>
        </w:rPr>
        <w:t>——</w:t>
      </w:r>
      <w:r>
        <w:rPr>
          <w:rFonts w:hint="eastAsia"/>
        </w:rPr>
        <w:t>信息披露事务管理》的通知（上证发〔2022〕3号）</w:t>
      </w:r>
    </w:p>
    <w:p w14:paraId="7FB1AB4E" w14:textId="77777777" w:rsidR="009D5D3B" w:rsidRDefault="00000000">
      <w:pPr>
        <w:pStyle w:val="afff2"/>
        <w:numPr>
          <w:ilvl w:val="0"/>
          <w:numId w:val="21"/>
        </w:numPr>
        <w:ind w:firstLine="420"/>
      </w:pPr>
      <w:r>
        <w:rPr>
          <w:rFonts w:hint="eastAsia"/>
        </w:rPr>
        <w:t xml:space="preserve"> 上海证券交易所关于发布《上海证券交易所科创板股票上市规则（2024年4月修订）》的通知（上证发〔2024〕52号）</w:t>
      </w:r>
    </w:p>
    <w:p w14:paraId="5E05BB28" w14:textId="77777777" w:rsidR="009D5D3B" w:rsidRDefault="00000000">
      <w:pPr>
        <w:pStyle w:val="afff2"/>
        <w:numPr>
          <w:ilvl w:val="0"/>
          <w:numId w:val="21"/>
        </w:numPr>
        <w:ind w:firstLine="420"/>
      </w:pPr>
      <w:r>
        <w:rPr>
          <w:rFonts w:hint="eastAsia"/>
        </w:rPr>
        <w:t xml:space="preserve"> 上海证券交易所关于发布《上海证券交易所科创板企业发行上市申报及推荐暂行规定（2024年4月修订）》的通知（上证发〔2024〕54号）</w:t>
      </w:r>
    </w:p>
    <w:p w14:paraId="1CE9D60F" w14:textId="77777777" w:rsidR="009D5D3B" w:rsidRDefault="00000000">
      <w:pPr>
        <w:pStyle w:val="afff2"/>
        <w:numPr>
          <w:ilvl w:val="0"/>
          <w:numId w:val="21"/>
        </w:numPr>
        <w:ind w:firstLine="420"/>
      </w:pPr>
      <w:r>
        <w:rPr>
          <w:rFonts w:hint="eastAsia"/>
        </w:rPr>
        <w:t xml:space="preserve"> 上海证券交易所关于发布《上海证券交易所发行上市审核业务指南第4号</w:t>
      </w:r>
      <w:r>
        <w:rPr>
          <w:rFonts w:ascii="黑体" w:eastAsia="黑体" w:hAnsi="黑体" w:cs="黑体" w:hint="eastAsia"/>
        </w:rPr>
        <w:t>——</w:t>
      </w:r>
      <w:r>
        <w:rPr>
          <w:rFonts w:hint="eastAsia"/>
        </w:rPr>
        <w:t>常见问题的信息披露和核查要求自查表》的通知（上证函〔2023〕657号）</w:t>
      </w:r>
    </w:p>
    <w:p w14:paraId="51C5BFD6" w14:textId="77777777" w:rsidR="009D5D3B" w:rsidRDefault="00000000">
      <w:pPr>
        <w:pStyle w:val="afff2"/>
        <w:numPr>
          <w:ilvl w:val="0"/>
          <w:numId w:val="21"/>
        </w:numPr>
        <w:ind w:firstLine="420"/>
      </w:pPr>
      <w:r>
        <w:rPr>
          <w:rFonts w:hint="eastAsia"/>
        </w:rPr>
        <w:t xml:space="preserve"> 上海证券交易所关于发布《上海证券交易所科创板上市公司自律监管指南（2024年5月修订）》的通知（上证函〔2024〕1477号）</w:t>
      </w:r>
    </w:p>
    <w:p w14:paraId="2A5D4C09" w14:textId="77777777" w:rsidR="009D5D3B" w:rsidRDefault="009D5D3B">
      <w:pPr>
        <w:pStyle w:val="ae"/>
        <w:jc w:val="left"/>
        <w:rPr>
          <w:rFonts w:ascii="黑体" w:eastAsia="黑体" w:hAnsi="黑体" w:cs="黑体" w:hint="eastAsia"/>
          <w:sz w:val="18"/>
          <w:szCs w:val="18"/>
        </w:rPr>
      </w:pPr>
    </w:p>
    <w:p w14:paraId="583AC032" w14:textId="77777777" w:rsidR="009D5D3B" w:rsidRDefault="00000000">
      <w:pPr>
        <w:jc w:val="center"/>
        <w:rPr>
          <w:rFonts w:ascii="黑体" w:eastAsia="黑体" w:hAnsi="黑体" w:cs="黑体" w:hint="eastAsia"/>
          <w:sz w:val="18"/>
          <w:szCs w:val="18"/>
        </w:rPr>
      </w:pPr>
      <w:r>
        <w:rPr>
          <w:rFonts w:ascii="黑体" w:eastAsia="黑体" w:hAnsi="黑体"/>
          <w:noProof/>
        </w:rPr>
        <mc:AlternateContent>
          <mc:Choice Requires="wps">
            <w:drawing>
              <wp:anchor distT="0" distB="0" distL="114300" distR="114300" simplePos="0" relativeHeight="251675648" behindDoc="0" locked="0" layoutInCell="1" allowOverlap="1" wp14:anchorId="582E6449" wp14:editId="06CA1C90">
                <wp:simplePos x="0" y="0"/>
                <wp:positionH relativeFrom="column">
                  <wp:posOffset>2066925</wp:posOffset>
                </wp:positionH>
                <wp:positionV relativeFrom="paragraph">
                  <wp:posOffset>153670</wp:posOffset>
                </wp:positionV>
                <wp:extent cx="1800225" cy="0"/>
                <wp:effectExtent l="0" t="4445" r="0" b="5080"/>
                <wp:wrapNone/>
                <wp:docPr id="2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ln>
                        <a:effectLst/>
                      </wps:spPr>
                      <wps:bodyPr/>
                    </wps:wsp>
                  </a:graphicData>
                </a:graphic>
              </wp:anchor>
            </w:drawing>
          </mc:Choice>
          <mc:Fallback>
            <w:pict>
              <v:shape w14:anchorId="314D4D5B" id="直接箭头连接符 5" o:spid="_x0000_s1026" type="#_x0000_t32" style="position:absolute;margin-left:162.75pt;margin-top:12.1pt;width:141.7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"/>
            </w:pict>
          </mc:Fallback>
        </mc:AlternateContent>
      </w:r>
    </w:p>
    <w:sectPr w:rsidR="009D5D3B">
      <w:headerReference w:type="even" r:id="rId33"/>
      <w:headerReference w:type="default" r:id="rId34"/>
      <w:footerReference w:type="even" r:id="rId35"/>
      <w:footerReference w:type="default" r:id="rId36"/>
      <w:pgSz w:w="11906" w:h="16838"/>
      <w:pgMar w:top="1417" w:right="1134" w:bottom="1134" w:left="1418"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82966" w14:textId="77777777" w:rsidR="00A82403" w:rsidRDefault="00A82403">
      <w:r>
        <w:separator/>
      </w:r>
    </w:p>
  </w:endnote>
  <w:endnote w:type="continuationSeparator" w:id="0">
    <w:p w14:paraId="2F2A5CF0" w14:textId="77777777" w:rsidR="00A82403" w:rsidRDefault="00A8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font>
  <w:font w:name="Dotum,Bold">
    <w:altName w:val="黑体"/>
    <w:charset w:val="86"/>
    <w:family w:val="auto"/>
    <w:pitch w:val="default"/>
    <w:sig w:usb0="00000000" w:usb1="00000000" w:usb2="00000010" w:usb3="00000000" w:csb0="00040000" w:csb1="00000000"/>
  </w:font>
  <w:font w:name="SimSun,Bold">
    <w:altName w:val="黑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2D001" w14:textId="77777777" w:rsidR="009D5D3B" w:rsidRDefault="00000000">
    <w:pPr>
      <w:pStyle w:val="af9"/>
      <w:rPr>
        <w:rFonts w:asciiTheme="minorEastAsia" w:hAnsiTheme="minorEastAsia" w:hint="eastAsia"/>
      </w:rPr>
    </w:pPr>
    <w:r>
      <w:rPr>
        <w:noProof/>
      </w:rPr>
      <mc:AlternateContent>
        <mc:Choice Requires="wps">
          <w:drawing>
            <wp:anchor distT="0" distB="0" distL="114300" distR="114300" simplePos="0" relativeHeight="251666432" behindDoc="0" locked="0" layoutInCell="1" allowOverlap="1" wp14:anchorId="52B8A7E0" wp14:editId="110D2248">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952B1A" w14:textId="77777777" w:rsidR="009D5D3B" w:rsidRDefault="00000000">
                          <w:pPr>
                            <w:pStyle w:val="af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2B8A7E0" id="_x0000_t202" coordsize="21600,21600" o:spt="202" path="m,l,21600r21600,l21600,xe">
              <v:stroke joinstyle="miter"/>
              <v:path gradientshapeok="t" o:connecttype="rect"/>
            </v:shapetype>
            <v:shape id="文本框 12" o:spid="_x0000_s1030" type="#_x0000_t202" style="position:absolute;margin-left:92.8pt;margin-top:0;width:2in;height:2in;z-index:25166643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7952B1A" w14:textId="77777777" w:rsidR="009D5D3B" w:rsidRDefault="00000000">
                    <w:pPr>
                      <w:pStyle w:val="af9"/>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40594" w14:textId="77777777" w:rsidR="009D5D3B" w:rsidRDefault="00000000">
    <w:pPr>
      <w:pStyle w:val="af9"/>
      <w:jc w:val="center"/>
      <w:rPr>
        <w:rFonts w:asciiTheme="minorEastAsia" w:hAnsiTheme="minorEastAsia" w:hint="eastAsia"/>
      </w:rPr>
    </w:pPr>
    <w:r>
      <w:rPr>
        <w:noProof/>
      </w:rPr>
      <mc:AlternateContent>
        <mc:Choice Requires="wps">
          <w:drawing>
            <wp:anchor distT="0" distB="0" distL="114300" distR="114300" simplePos="0" relativeHeight="251669504" behindDoc="0" locked="0" layoutInCell="1" allowOverlap="1" wp14:anchorId="308B6E13" wp14:editId="700A9662">
              <wp:simplePos x="0" y="0"/>
              <wp:positionH relativeFrom="margin">
                <wp:align>right</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765EA3" w14:textId="77777777" w:rsidR="009D5D3B" w:rsidRDefault="00000000">
                          <w:pPr>
                            <w:pStyle w:val="af9"/>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8B6E13" id="_x0000_t202" coordsize="21600,21600" o:spt="202" path="m,l,21600r21600,l21600,xe">
              <v:stroke joinstyle="miter"/>
              <v:path gradientshapeok="t" o:connecttype="rect"/>
            </v:shapetype>
            <v:shape id="文本框 30" o:spid="_x0000_s1035" type="#_x0000_t202" style="position:absolute;left:0;text-align:left;margin-left:92.8pt;margin-top:0;width:2in;height:2in;z-index:2516695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2F765EA3" w14:textId="77777777" w:rsidR="009D5D3B" w:rsidRDefault="00000000">
                    <w:pPr>
                      <w:pStyle w:val="af9"/>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B8AA1" w14:textId="77777777" w:rsidR="009D5D3B" w:rsidRDefault="009D5D3B">
    <w:pPr>
      <w:pStyle w:val="af9"/>
      <w:rPr>
        <w:rFonts w:asciiTheme="minorEastAsia" w:hAnsiTheme="minorEastAsia" w:hint="eastAsia"/>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14995" w14:textId="77777777" w:rsidR="009D5D3B" w:rsidRDefault="009D5D3B">
    <w:pPr>
      <w:pStyle w:val="af9"/>
      <w:jc w:val="center"/>
      <w:rPr>
        <w:rFonts w:asciiTheme="minorEastAsia" w:hAnsiTheme="minorEastAsia" w:hint="eastAsia"/>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EDA4A" w14:textId="77777777" w:rsidR="009D5D3B" w:rsidRDefault="00000000">
    <w:pPr>
      <w:pStyle w:val="af9"/>
      <w:rPr>
        <w:rFonts w:asciiTheme="minorEastAsia" w:hAnsiTheme="minorEastAsia" w:hint="eastAsia"/>
      </w:rPr>
    </w:pPr>
    <w:r>
      <w:rPr>
        <w:noProof/>
      </w:rPr>
      <mc:AlternateContent>
        <mc:Choice Requires="wps">
          <w:drawing>
            <wp:anchor distT="0" distB="0" distL="114300" distR="114300" simplePos="0" relativeHeight="251672576" behindDoc="0" locked="0" layoutInCell="1" allowOverlap="1" wp14:anchorId="61381261" wp14:editId="3F25F8EB">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956425" w14:textId="77777777" w:rsidR="009D5D3B" w:rsidRDefault="00000000">
                          <w:pPr>
                            <w:pStyle w:val="af9"/>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1381261" id="_x0000_t202" coordsize="21600,21600" o:spt="202" path="m,l,21600r21600,l21600,xe">
              <v:stroke joinstyle="miter"/>
              <v:path gradientshapeok="t" o:connecttype="rect"/>
            </v:shapetype>
            <v:shape id="文本框 39" o:spid="_x0000_s1036" type="#_x0000_t202" style="position:absolute;margin-left:92.8pt;margin-top:0;width:2in;height:2in;z-index:25167257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70956425" w14:textId="77777777" w:rsidR="009D5D3B" w:rsidRDefault="00000000">
                    <w:pPr>
                      <w:pStyle w:val="af9"/>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p>
                </w:txbxContent>
              </v:textbox>
              <w10:wrap anchorx="margin"/>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8E5DB" w14:textId="77777777" w:rsidR="009D5D3B" w:rsidRDefault="00000000">
    <w:pPr>
      <w:pStyle w:val="af9"/>
      <w:jc w:val="center"/>
      <w:rPr>
        <w:rFonts w:asciiTheme="minorEastAsia" w:hAnsiTheme="minorEastAsia" w:hint="eastAsia"/>
      </w:rPr>
    </w:pPr>
    <w:r>
      <w:rPr>
        <w:noProof/>
      </w:rPr>
      <mc:AlternateContent>
        <mc:Choice Requires="wps">
          <w:drawing>
            <wp:anchor distT="0" distB="0" distL="114300" distR="114300" simplePos="0" relativeHeight="251671552" behindDoc="0" locked="0" layoutInCell="1" allowOverlap="1" wp14:anchorId="2ECB1581" wp14:editId="4004D04D">
              <wp:simplePos x="0" y="0"/>
              <wp:positionH relativeFrom="margin">
                <wp:align>outside</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C55799" w14:textId="77777777" w:rsidR="009D5D3B" w:rsidRDefault="00000000">
                          <w:pPr>
                            <w:pStyle w:val="af9"/>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5</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ECB1581" id="_x0000_t202" coordsize="21600,21600" o:spt="202" path="m,l,21600r21600,l21600,xe">
              <v:stroke joinstyle="miter"/>
              <v:path gradientshapeok="t" o:connecttype="rect"/>
            </v:shapetype>
            <v:shape id="文本框 38" o:spid="_x0000_s1037" type="#_x0000_t202" style="position:absolute;left:0;text-align:left;margin-left:92.8pt;margin-top:0;width:2in;height:2in;z-index:25167155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70C55799" w14:textId="77777777" w:rsidR="009D5D3B" w:rsidRDefault="00000000">
                    <w:pPr>
                      <w:pStyle w:val="af9"/>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5</w:t>
                    </w:r>
                    <w:r>
                      <w:rPr>
                        <w:rFonts w:ascii="宋体" w:eastAsia="宋体" w:hAnsi="宋体" w:cs="宋体" w:hint="eastAsia"/>
                      </w:rPr>
                      <w:fldChar w:fldCharType="end"/>
                    </w:r>
                  </w:p>
                </w:txbxContent>
              </v:textbox>
              <w10:wrap anchorx="margin"/>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02119" w14:textId="77777777" w:rsidR="009D5D3B" w:rsidRDefault="00000000">
    <w:pPr>
      <w:pStyle w:val="af9"/>
      <w:jc w:val="center"/>
      <w:rPr>
        <w:rFonts w:asciiTheme="minorEastAsia" w:hAnsiTheme="minorEastAsia" w:hint="eastAsia"/>
      </w:rPr>
    </w:pPr>
    <w:r>
      <w:rPr>
        <w:noProof/>
      </w:rPr>
      <mc:AlternateContent>
        <mc:Choice Requires="wps">
          <w:drawing>
            <wp:anchor distT="0" distB="0" distL="114300" distR="114300" simplePos="0" relativeHeight="251674624" behindDoc="0" locked="0" layoutInCell="1" allowOverlap="1" wp14:anchorId="13B7FD08" wp14:editId="1472D455">
              <wp:simplePos x="0" y="0"/>
              <wp:positionH relativeFrom="margin">
                <wp:align>outside</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D8DE9F" w14:textId="77777777" w:rsidR="009D5D3B" w:rsidRDefault="00000000">
                          <w:pPr>
                            <w:pStyle w:val="af9"/>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10</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B7FD08" id="_x0000_t202" coordsize="21600,21600" o:spt="202" path="m,l,21600r21600,l21600,xe">
              <v:stroke joinstyle="miter"/>
              <v:path gradientshapeok="t" o:connecttype="rect"/>
            </v:shapetype>
            <v:shape id="文本框 41" o:spid="_x0000_s1038" type="#_x0000_t202" style="position:absolute;left:0;text-align:left;margin-left:92.8pt;margin-top:0;width:2in;height:2in;z-index:25167462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6x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H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gSJ6xQQIAAOsEAAAOAAAAAAAA&#10;AAAAAAAAAC4CAABkcnMvZTJvRG9jLnhtbFBLAQItABQABgAIAAAAIQBxqtG51wAAAAUBAAAPAAAA&#10;AAAAAAAAAAAAAJsEAABkcnMvZG93bnJldi54bWxQSwUGAAAAAAQABADzAAAAnwUAAAAA&#10;" filled="f" stroked="f" strokeweight=".5pt">
              <v:textbox style="mso-fit-shape-to-text:t" inset="0,0,0,0">
                <w:txbxContent>
                  <w:p w14:paraId="14D8DE9F" w14:textId="77777777" w:rsidR="009D5D3B" w:rsidRDefault="00000000">
                    <w:pPr>
                      <w:pStyle w:val="af9"/>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10</w:t>
                    </w:r>
                    <w:r>
                      <w:rPr>
                        <w:rFonts w:ascii="宋体" w:eastAsia="宋体" w:hAnsi="宋体" w:cs="宋体" w:hint="eastAsia"/>
                      </w:rPr>
                      <w:fldChar w:fldCharType="end"/>
                    </w:r>
                  </w:p>
                </w:txbxContent>
              </v:textbox>
              <w10:wrap anchorx="margin"/>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420B3" w14:textId="77777777" w:rsidR="009D5D3B" w:rsidRDefault="00000000">
    <w:pPr>
      <w:pStyle w:val="af9"/>
      <w:jc w:val="center"/>
      <w:rPr>
        <w:rFonts w:asciiTheme="minorEastAsia" w:hAnsiTheme="minorEastAsia" w:hint="eastAsia"/>
      </w:rPr>
    </w:pPr>
    <w:r>
      <w:rPr>
        <w:noProof/>
      </w:rPr>
      <mc:AlternateContent>
        <mc:Choice Requires="wps">
          <w:drawing>
            <wp:anchor distT="0" distB="0" distL="114300" distR="114300" simplePos="0" relativeHeight="251673600" behindDoc="0" locked="0" layoutInCell="1" allowOverlap="1" wp14:anchorId="14486BBE" wp14:editId="395A079B">
              <wp:simplePos x="0" y="0"/>
              <wp:positionH relativeFrom="margin">
                <wp:align>outside</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78C7B8" w14:textId="77777777" w:rsidR="009D5D3B" w:rsidRDefault="00000000">
                          <w:pPr>
                            <w:pStyle w:val="af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4486BBE" id="_x0000_t202" coordsize="21600,21600" o:spt="202" path="m,l,21600r21600,l21600,xe">
              <v:stroke joinstyle="miter"/>
              <v:path gradientshapeok="t" o:connecttype="rect"/>
            </v:shapetype>
            <v:shape id="文本框 40" o:spid="_x0000_s1039" type="#_x0000_t202" style="position:absolute;left:0;text-align:left;margin-left:92.8pt;margin-top:0;width:2in;height:2in;z-index:25167360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1lKQQIAAOsEAAAOAAAAZHJzL2Uyb0RvYy54bWysVFGP0zAMfkfiP0R5Z+2GOI1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gz1lKQQIAAOsEAAAOAAAAAAAA&#10;AAAAAAAAAC4CAABkcnMvZTJvRG9jLnhtbFBLAQItABQABgAIAAAAIQBxqtG51wAAAAUBAAAPAAAA&#10;AAAAAAAAAAAAAJsEAABkcnMvZG93bnJldi54bWxQSwUGAAAAAAQABADzAAAAnwUAAAAA&#10;" filled="f" stroked="f" strokeweight=".5pt">
              <v:textbox style="mso-fit-shape-to-text:t" inset="0,0,0,0">
                <w:txbxContent>
                  <w:p w14:paraId="7B78C7B8" w14:textId="77777777" w:rsidR="009D5D3B" w:rsidRDefault="00000000">
                    <w:pPr>
                      <w:pStyle w:val="af9"/>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C12F4" w14:textId="77777777" w:rsidR="009D5D3B" w:rsidRDefault="00000000">
    <w:pPr>
      <w:pStyle w:val="af9"/>
      <w:jc w:val="center"/>
      <w:rPr>
        <w:rFonts w:asciiTheme="minorEastAsia" w:hAnsiTheme="minorEastAsia" w:hint="eastAsia"/>
      </w:rPr>
    </w:pPr>
    <w:r>
      <w:rPr>
        <w:noProof/>
      </w:rPr>
      <mc:AlternateContent>
        <mc:Choice Requires="wps">
          <w:drawing>
            <wp:anchor distT="0" distB="0" distL="114300" distR="114300" simplePos="0" relativeHeight="251665408" behindDoc="0" locked="0" layoutInCell="1" allowOverlap="1" wp14:anchorId="3FE8D8D5" wp14:editId="62D33174">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DBD9CB" w14:textId="77777777" w:rsidR="009D5D3B" w:rsidRDefault="00000000">
                          <w:pPr>
                            <w:pStyle w:val="af9"/>
                            <w:rPr>
                              <w:rFonts w:asciiTheme="minorEastAsia" w:hAnsiTheme="minorEastAsia" w:cstheme="minorEastAsia" w:hint="eastAsia"/>
                            </w:rPr>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Pr>
                              <w:rFonts w:asciiTheme="minorEastAsia" w:hAnsiTheme="minorEastAsia" w:cstheme="minorEastAsia" w:hint="eastAsia"/>
                            </w:rPr>
                            <w:t>1</w:t>
                          </w:r>
                          <w:r>
                            <w:rPr>
                              <w:rFonts w:asciiTheme="minorEastAsia" w:hAnsiTheme="minorEastAsia" w:cstheme="minorEastAsia"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FE8D8D5" id="_x0000_t202" coordsize="21600,21600" o:spt="202" path="m,l,21600r21600,l21600,xe">
              <v:stroke joinstyle="miter"/>
              <v:path gradientshapeok="t" o:connecttype="rect"/>
            </v:shapetype>
            <v:shape id="文本框 2" o:spid="_x0000_s1031" type="#_x0000_t202" style="position:absolute;left:0;text-align:left;margin-left:92.8pt;margin-top:0;width:2in;height:2in;z-index:25166540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5DBD9CB" w14:textId="77777777" w:rsidR="009D5D3B" w:rsidRDefault="00000000">
                    <w:pPr>
                      <w:pStyle w:val="af9"/>
                      <w:rPr>
                        <w:rFonts w:asciiTheme="minorEastAsia" w:hAnsiTheme="minorEastAsia" w:cstheme="minorEastAsia" w:hint="eastAsia"/>
                      </w:rPr>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Pr>
                        <w:rFonts w:asciiTheme="minorEastAsia" w:hAnsiTheme="minorEastAsia" w:cstheme="minorEastAsia" w:hint="eastAsia"/>
                      </w:rPr>
                      <w:t>1</w:t>
                    </w:r>
                    <w:r>
                      <w:rPr>
                        <w:rFonts w:asciiTheme="minorEastAsia" w:hAnsiTheme="minorEastAsia" w:cstheme="minorEastAsia"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4B4D8" w14:textId="77777777" w:rsidR="009D5D3B" w:rsidRDefault="009D5D3B">
    <w:pPr>
      <w:pStyle w:val="af9"/>
      <w:rPr>
        <w:rFonts w:asciiTheme="minorEastAsia" w:hAnsiTheme="minorEastAsia"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7CE84" w14:textId="77777777" w:rsidR="009D5D3B" w:rsidRDefault="009D5D3B">
    <w:pPr>
      <w:pStyle w:val="af9"/>
      <w:jc w:val="center"/>
      <w:rPr>
        <w:rFonts w:asciiTheme="minorEastAsia" w:hAnsiTheme="minorEastAsia" w:hint="eastAsia"/>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E9B5B" w14:textId="77777777" w:rsidR="009D5D3B" w:rsidRDefault="00000000">
    <w:pPr>
      <w:pStyle w:val="af9"/>
      <w:rPr>
        <w:rFonts w:asciiTheme="minorEastAsia" w:hAnsiTheme="minorEastAsia" w:hint="eastAsia"/>
      </w:rPr>
    </w:pPr>
    <w:r>
      <w:rPr>
        <w:noProof/>
      </w:rPr>
      <mc:AlternateContent>
        <mc:Choice Requires="wps">
          <w:drawing>
            <wp:anchor distT="0" distB="0" distL="114300" distR="114300" simplePos="0" relativeHeight="251668480" behindDoc="0" locked="0" layoutInCell="1" allowOverlap="1" wp14:anchorId="5B1D1352" wp14:editId="057B0503">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013F64" w14:textId="77777777" w:rsidR="009D5D3B" w:rsidRDefault="00000000">
                          <w:pPr>
                            <w:pStyle w:val="af9"/>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1D1352" id="_x0000_t202" coordsize="21600,21600" o:spt="202" path="m,l,21600r21600,l21600,xe">
              <v:stroke joinstyle="miter"/>
              <v:path gradientshapeok="t" o:connecttype="rect"/>
            </v:shapetype>
            <v:shape id="文本框 19" o:spid="_x0000_s1032" type="#_x0000_t202" style="position:absolute;margin-left:92.8pt;margin-top:0;width:2in;height:2in;z-index:25166848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F013F64" w14:textId="77777777" w:rsidR="009D5D3B" w:rsidRDefault="00000000">
                    <w:pPr>
                      <w:pStyle w:val="af9"/>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E8DEB" w14:textId="77777777" w:rsidR="009D5D3B" w:rsidRDefault="00000000">
    <w:pPr>
      <w:pStyle w:val="af9"/>
      <w:jc w:val="center"/>
      <w:rPr>
        <w:rFonts w:asciiTheme="minorEastAsia" w:hAnsiTheme="minorEastAsia" w:hint="eastAsia"/>
      </w:rPr>
    </w:pPr>
    <w:r>
      <w:rPr>
        <w:noProof/>
      </w:rPr>
      <mc:AlternateContent>
        <mc:Choice Requires="wps">
          <w:drawing>
            <wp:anchor distT="0" distB="0" distL="114300" distR="114300" simplePos="0" relativeHeight="251667456" behindDoc="0" locked="0" layoutInCell="1" allowOverlap="1" wp14:anchorId="5B7BFDDC" wp14:editId="3EC6BC7C">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34B86E" w14:textId="77777777" w:rsidR="009D5D3B" w:rsidRDefault="00000000">
                          <w:pPr>
                            <w:pStyle w:val="af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7BFDDC" id="_x0000_t202" coordsize="21600,21600" o:spt="202" path="m,l,21600r21600,l21600,xe">
              <v:stroke joinstyle="miter"/>
              <v:path gradientshapeok="t" o:connecttype="rect"/>
            </v:shapetype>
            <v:shape id="文本框 18" o:spid="_x0000_s1033" type="#_x0000_t202" style="position:absolute;left:0;text-align:left;margin-left:92.8pt;margin-top:0;width:2in;height:2in;z-index:2516674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3234B86E" w14:textId="77777777" w:rsidR="009D5D3B" w:rsidRDefault="00000000">
                    <w:pPr>
                      <w:pStyle w:val="af9"/>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D28A7" w14:textId="77777777" w:rsidR="009D5D3B" w:rsidRDefault="009D5D3B">
    <w:pPr>
      <w:pStyle w:val="af9"/>
      <w:rPr>
        <w:rFonts w:asciiTheme="minorEastAsia" w:hAnsiTheme="minorEastAsia" w:hint="eastAsia"/>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F4F24" w14:textId="77777777" w:rsidR="009D5D3B" w:rsidRDefault="009D5D3B">
    <w:pPr>
      <w:pStyle w:val="af9"/>
      <w:jc w:val="center"/>
      <w:rPr>
        <w:rFonts w:asciiTheme="minorEastAsia" w:hAnsiTheme="minorEastAsia" w:hint="eastAsia"/>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BB0E8" w14:textId="77777777" w:rsidR="009D5D3B" w:rsidRDefault="00000000">
    <w:pPr>
      <w:pStyle w:val="af9"/>
      <w:rPr>
        <w:rFonts w:asciiTheme="minorEastAsia" w:hAnsiTheme="minorEastAsia" w:hint="eastAsia"/>
      </w:rPr>
    </w:pPr>
    <w:r>
      <w:rPr>
        <w:noProof/>
      </w:rPr>
      <mc:AlternateContent>
        <mc:Choice Requires="wps">
          <w:drawing>
            <wp:anchor distT="0" distB="0" distL="114300" distR="114300" simplePos="0" relativeHeight="251670528" behindDoc="0" locked="0" layoutInCell="1" allowOverlap="1" wp14:anchorId="6939B989" wp14:editId="668FAA76">
              <wp:simplePos x="0" y="0"/>
              <wp:positionH relativeFrom="margin">
                <wp:align>right</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A54FDC" w14:textId="77777777" w:rsidR="009D5D3B" w:rsidRDefault="00000000">
                          <w:pPr>
                            <w:pStyle w:val="af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939B989" id="_x0000_t202" coordsize="21600,21600" o:spt="202" path="m,l,21600r21600,l21600,xe">
              <v:stroke joinstyle="miter"/>
              <v:path gradientshapeok="t" o:connecttype="rect"/>
            </v:shapetype>
            <v:shape id="文本框 31" o:spid="_x0000_s1034" type="#_x0000_t202" style="position:absolute;margin-left:92.8pt;margin-top:0;width:2in;height:2in;z-index:25167052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45A54FDC" w14:textId="77777777" w:rsidR="009D5D3B" w:rsidRDefault="00000000">
                    <w:pPr>
                      <w:pStyle w:val="af9"/>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DD660" w14:textId="77777777" w:rsidR="00A82403" w:rsidRDefault="00A82403">
      <w:r>
        <w:separator/>
      </w:r>
    </w:p>
  </w:footnote>
  <w:footnote w:type="continuationSeparator" w:id="0">
    <w:p w14:paraId="612605CE" w14:textId="77777777" w:rsidR="00A82403" w:rsidRDefault="00A8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C692A" w14:textId="77777777" w:rsidR="009D5D3B" w:rsidRDefault="009D5D3B">
    <w:pPr>
      <w:spacing w:after="284"/>
      <w:jc w:val="right"/>
      <w:rPr>
        <w:rFonts w:ascii="黑体" w:eastAsia="黑体" w:hAnsi="黑体" w:hint="eastAsia"/>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719DD" w14:textId="77777777" w:rsidR="009D5D3B" w:rsidRDefault="00000000">
    <w:pPr>
      <w:adjustRightInd w:val="0"/>
      <w:snapToGrid w:val="0"/>
      <w:spacing w:after="283"/>
      <w:rPr>
        <w:rFonts w:ascii="黑体" w:eastAsia="黑体" w:hAnsi="黑体" w:hint="eastAsia"/>
      </w:rPr>
    </w:pPr>
    <w:r>
      <w:ptab w:relativeTo="margin" w:alignment="left" w:leader="none"/>
    </w:r>
    <w:r>
      <w:rPr>
        <w:rFonts w:ascii="黑体" w:eastAsia="黑体" w:hAnsi="黑体" w:hint="eastAsia"/>
      </w:rPr>
      <w:t>DB32</w:t>
    </w:r>
    <w:r>
      <w:rPr>
        <w:rFonts w:ascii="黑体" w:eastAsia="黑体" w:hAnsi="黑体"/>
      </w:rPr>
      <w:t>05</w:t>
    </w:r>
    <w:r>
      <w:rPr>
        <w:rFonts w:ascii="黑体" w:eastAsia="黑体" w:hAnsi="黑体" w:hint="eastAsia"/>
      </w:rPr>
      <w:t>/T XXX—2024</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D0CEA" w14:textId="77777777" w:rsidR="009D5D3B" w:rsidRDefault="00000000">
    <w:pPr>
      <w:pStyle w:val="aff7"/>
      <w:adjustRightInd w:val="0"/>
      <w:snapToGrid w:val="0"/>
      <w:spacing w:after="283"/>
      <w:rPr>
        <w:rStyle w:val="12"/>
        <w:rFonts w:ascii="黑体" w:eastAsia="黑体" w:hAnsi="黑体" w:hint="eastAsia"/>
        <w:i w:val="0"/>
        <w:color w:val="7F7F7F" w:themeColor="text1" w:themeTint="80"/>
      </w:rPr>
    </w:pPr>
    <w:r>
      <w:ptab w:relativeTo="margin" w:alignment="right" w:leader="none"/>
    </w:r>
    <w:r>
      <w:rPr>
        <w:rFonts w:ascii="黑体" w:eastAsia="黑体" w:hAnsi="黑体" w:hint="eastAsia"/>
      </w:rPr>
      <w:t>DB32</w:t>
    </w:r>
    <w:r>
      <w:rPr>
        <w:rFonts w:ascii="黑体" w:eastAsia="黑体" w:hAnsi="黑体"/>
      </w:rPr>
      <w:t>05</w:t>
    </w:r>
    <w:r>
      <w:rPr>
        <w:rFonts w:ascii="黑体" w:eastAsia="黑体" w:hAnsi="黑体" w:hint="eastAsia"/>
      </w:rPr>
      <w:t>/T XXX—20</w:t>
    </w:r>
    <w:r>
      <w:rPr>
        <w:rFonts w:ascii="黑体" w:eastAsia="黑体" w:hAnsi="黑体"/>
      </w:rPr>
      <w:t>2</w:t>
    </w:r>
    <w:r>
      <w:rPr>
        <w:rFonts w:ascii="黑体" w:eastAsia="黑体" w:hAnsi="黑体" w:hint="eastAsia"/>
      </w:rPr>
      <w:t>4</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56D60" w14:textId="77777777" w:rsidR="009D5D3B" w:rsidRDefault="00000000">
    <w:pPr>
      <w:pStyle w:val="aff7"/>
      <w:adjustRightInd w:val="0"/>
      <w:snapToGrid w:val="0"/>
      <w:spacing w:after="283"/>
      <w:rPr>
        <w:rFonts w:ascii="黑体" w:eastAsia="黑体" w:hAnsi="黑体" w:hint="eastAsia"/>
      </w:rPr>
    </w:pPr>
    <w:r>
      <w:rPr>
        <w:rFonts w:ascii="黑体" w:eastAsia="黑体" w:hAnsi="黑体" w:hint="eastAsia"/>
      </w:rPr>
      <w:t>DB32</w:t>
    </w:r>
    <w:r>
      <w:rPr>
        <w:rFonts w:ascii="黑体" w:eastAsia="黑体" w:hAnsi="黑体"/>
      </w:rPr>
      <w:t>05</w:t>
    </w:r>
    <w:r>
      <w:rPr>
        <w:rFonts w:ascii="黑体" w:eastAsia="黑体" w:hAnsi="黑体" w:hint="eastAsia"/>
      </w:rPr>
      <w:t>/T XXX—20</w:t>
    </w:r>
    <w:r>
      <w:rPr>
        <w:rFonts w:ascii="黑体" w:eastAsia="黑体" w:hAnsi="黑体"/>
      </w:rPr>
      <w:t>2</w:t>
    </w:r>
    <w:r>
      <w:rPr>
        <w:rFonts w:ascii="黑体" w:eastAsia="黑体" w:hAnsi="黑体" w:hint="eastAsia"/>
      </w:rPr>
      <w:t>4</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EA156" w14:textId="77777777" w:rsidR="009D5D3B" w:rsidRDefault="00000000">
    <w:pPr>
      <w:pStyle w:val="aff7"/>
      <w:adjustRightInd w:val="0"/>
      <w:snapToGrid w:val="0"/>
      <w:spacing w:after="283"/>
      <w:rPr>
        <w:rStyle w:val="12"/>
        <w:rFonts w:ascii="黑体" w:eastAsia="黑体" w:hAnsi="黑体" w:hint="eastAsia"/>
        <w:i w:val="0"/>
        <w:color w:val="7F7F7F" w:themeColor="text1" w:themeTint="80"/>
      </w:rPr>
    </w:pPr>
    <w:r>
      <w:ptab w:relativeTo="margin" w:alignment="right" w:leader="none"/>
    </w:r>
    <w:r>
      <w:rPr>
        <w:rFonts w:ascii="黑体" w:eastAsia="黑体" w:hAnsi="黑体" w:hint="eastAsia"/>
      </w:rPr>
      <w:t>DB32</w:t>
    </w:r>
    <w:r>
      <w:rPr>
        <w:rFonts w:ascii="黑体" w:eastAsia="黑体" w:hAnsi="黑体"/>
      </w:rPr>
      <w:t>05</w:t>
    </w:r>
    <w:r>
      <w:rPr>
        <w:rFonts w:ascii="黑体" w:eastAsia="黑体" w:hAnsi="黑体" w:hint="eastAsia"/>
      </w:rPr>
      <w:t>/T XXX—20</w:t>
    </w:r>
    <w:r>
      <w:rPr>
        <w:rFonts w:ascii="黑体" w:eastAsia="黑体" w:hAnsi="黑体"/>
      </w:rPr>
      <w:t>2</w:t>
    </w:r>
    <w:r>
      <w:rPr>
        <w:rFonts w:ascii="黑体" w:eastAsia="黑体" w:hAnsi="黑体" w:hint="eastAsia"/>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036A2" w14:textId="77777777" w:rsidR="009D5D3B" w:rsidRDefault="00000000">
    <w:pPr>
      <w:spacing w:after="284"/>
      <w:jc w:val="right"/>
      <w:rPr>
        <w:rStyle w:val="12"/>
        <w:rFonts w:ascii="黑体" w:eastAsia="黑体" w:hAnsi="黑体" w:hint="eastAsia"/>
        <w:i w:val="0"/>
        <w:color w:val="7F7F7F" w:themeColor="text1" w:themeTint="80"/>
      </w:rPr>
    </w:pPr>
    <w:r>
      <w:rPr>
        <w:rFonts w:ascii="黑体" w:eastAsia="黑体" w:hAnsi="黑体" w:hint="eastAsia"/>
      </w:rPr>
      <w:t>DB32</w:t>
    </w:r>
    <w:r>
      <w:rPr>
        <w:rFonts w:ascii="黑体" w:eastAsia="黑体" w:hAnsi="黑体"/>
      </w:rPr>
      <w:t>05</w:t>
    </w:r>
    <w:r>
      <w:rPr>
        <w:rFonts w:ascii="黑体" w:eastAsia="黑体" w:hAnsi="黑体" w:hint="eastAsia"/>
      </w:rPr>
      <w:t>/T XXX—2024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06A3D1" w14:textId="77777777" w:rsidR="009D5D3B" w:rsidRDefault="00000000">
    <w:pPr>
      <w:spacing w:after="284"/>
      <w:jc w:val="right"/>
      <w:rPr>
        <w:rFonts w:ascii="黑体" w:eastAsia="黑体" w:hAnsi="黑体" w:hint="eastAsia"/>
      </w:rPr>
    </w:pPr>
    <w:r>
      <w:rPr>
        <w:rFonts w:ascii="黑体" w:eastAsia="黑体" w:hAnsi="黑体" w:hint="eastAsia"/>
      </w:rPr>
      <w:t>DB32</w:t>
    </w:r>
    <w:r>
      <w:rPr>
        <w:rFonts w:ascii="黑体" w:eastAsia="黑体" w:hAnsi="黑体"/>
      </w:rPr>
      <w:t>05</w:t>
    </w:r>
    <w:r>
      <w:rPr>
        <w:rFonts w:ascii="黑体" w:eastAsia="黑体" w:hAnsi="黑体" w:hint="eastAsia"/>
      </w:rPr>
      <w:t>/T XXX—2024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1E2D" w14:textId="77777777" w:rsidR="009D5D3B" w:rsidRDefault="00000000">
    <w:pPr>
      <w:spacing w:after="284"/>
      <w:jc w:val="right"/>
      <w:rPr>
        <w:rFonts w:ascii="黑体" w:eastAsia="黑体" w:hAnsi="黑体" w:hint="eastAsia"/>
      </w:rPr>
    </w:pPr>
    <w:r>
      <w:rPr>
        <w:rFonts w:ascii="黑体" w:eastAsia="黑体" w:hAnsi="黑体" w:hint="eastAsia"/>
      </w:rPr>
      <w:t>DB32</w:t>
    </w:r>
    <w:r>
      <w:rPr>
        <w:rFonts w:ascii="黑体" w:eastAsia="黑体" w:hAnsi="黑体"/>
      </w:rPr>
      <w:t>05</w:t>
    </w:r>
    <w:r>
      <w:rPr>
        <w:rFonts w:ascii="黑体" w:eastAsia="黑体" w:hAnsi="黑体" w:hint="eastAsia"/>
      </w:rPr>
      <w:t>/T XXX—2024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8210D" w14:textId="77777777" w:rsidR="009D5D3B" w:rsidRDefault="009D5D3B">
    <w:pPr>
      <w:pStyle w:val="afb"/>
      <w:pBdr>
        <w:bottom w:val="none" w:sz="0" w:space="1"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B6D87" w14:textId="77777777" w:rsidR="009D5D3B" w:rsidRDefault="00000000">
    <w:pPr>
      <w:spacing w:after="284"/>
      <w:jc w:val="right"/>
      <w:rPr>
        <w:rFonts w:ascii="黑体" w:eastAsia="黑体" w:hAnsi="黑体" w:hint="eastAsia"/>
      </w:rPr>
    </w:pPr>
    <w:r>
      <w:rPr>
        <w:rFonts w:ascii="黑体" w:eastAsia="黑体" w:hAnsi="黑体" w:hint="eastAsia"/>
      </w:rPr>
      <w:t>DB32</w:t>
    </w:r>
    <w:r>
      <w:rPr>
        <w:rFonts w:ascii="黑体" w:eastAsia="黑体" w:hAnsi="黑体"/>
      </w:rPr>
      <w:t>05</w:t>
    </w:r>
    <w:r>
      <w:rPr>
        <w:rFonts w:ascii="黑体" w:eastAsia="黑体" w:hAnsi="黑体" w:hint="eastAsia"/>
      </w:rPr>
      <w:t>/T XXX—2024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A0613" w14:textId="77777777" w:rsidR="009D5D3B" w:rsidRDefault="00000000">
    <w:pPr>
      <w:spacing w:after="284"/>
      <w:jc w:val="right"/>
      <w:rPr>
        <w:rStyle w:val="12"/>
        <w:rFonts w:ascii="黑体" w:eastAsia="黑体" w:hAnsi="黑体" w:hint="eastAsia"/>
        <w:i w:val="0"/>
        <w:color w:val="7F7F7F" w:themeColor="text1" w:themeTint="80"/>
      </w:rPr>
    </w:pPr>
    <w:r>
      <w:rPr>
        <w:rFonts w:ascii="黑体" w:eastAsia="黑体" w:hAnsi="黑体" w:hint="eastAsia"/>
      </w:rPr>
      <w:t>DB32</w:t>
    </w:r>
    <w:r>
      <w:rPr>
        <w:rFonts w:ascii="黑体" w:eastAsia="黑体" w:hAnsi="黑体"/>
      </w:rPr>
      <w:t>05</w:t>
    </w:r>
    <w:r>
      <w:rPr>
        <w:rFonts w:ascii="黑体" w:eastAsia="黑体" w:hAnsi="黑体" w:hint="eastAsia"/>
      </w:rPr>
      <w:t>/T XXX—2024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A0164" w14:textId="77777777" w:rsidR="009D5D3B" w:rsidRDefault="009D5D3B">
    <w:pPr>
      <w:spacing w:after="284"/>
      <w:jc w:val="right"/>
      <w:rPr>
        <w:rFonts w:ascii="黑体" w:eastAsia="黑体" w:hAnsi="黑体" w:hint="eastAsia"/>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FD2AF" w14:textId="77777777" w:rsidR="009D5D3B" w:rsidRDefault="00000000">
    <w:pPr>
      <w:spacing w:after="284"/>
      <w:jc w:val="right"/>
      <w:rPr>
        <w:rStyle w:val="12"/>
        <w:rFonts w:ascii="黑体" w:eastAsia="黑体" w:hAnsi="黑体" w:hint="eastAsia"/>
        <w:i w:val="0"/>
        <w:color w:val="7F7F7F" w:themeColor="text1" w:themeTint="80"/>
      </w:rPr>
    </w:pPr>
    <w:r>
      <w:rPr>
        <w:rFonts w:ascii="黑体" w:eastAsia="黑体" w:hAnsi="黑体" w:hint="eastAsia"/>
      </w:rPr>
      <w:t>DB32</w:t>
    </w:r>
    <w:r>
      <w:rPr>
        <w:rFonts w:ascii="黑体" w:eastAsia="黑体" w:hAnsi="黑体"/>
      </w:rPr>
      <w:t>05</w:t>
    </w:r>
    <w:r>
      <w:rPr>
        <w:rFonts w:ascii="黑体" w:eastAsia="黑体" w:hAnsi="黑体" w:hint="eastAsia"/>
      </w:rPr>
      <w:t>/T XXX—2024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D67501B"/>
    <w:multiLevelType w:val="singleLevel"/>
    <w:tmpl w:val="9D67501B"/>
    <w:lvl w:ilvl="0">
      <w:start w:val="1"/>
      <w:numFmt w:val="lowerLetter"/>
      <w:suff w:val="space"/>
      <w:lvlText w:val="%1）"/>
      <w:lvlJc w:val="left"/>
      <w:rPr>
        <w:rFonts w:ascii="宋体" w:eastAsia="宋体" w:hAnsi="宋体" w:cs="宋体" w:hint="default"/>
        <w:sz w:val="21"/>
        <w:szCs w:val="21"/>
      </w:rPr>
    </w:lvl>
  </w:abstractNum>
  <w:abstractNum w:abstractNumId="1" w15:restartNumberingAfterBreak="0">
    <w:nsid w:val="B7727E3A"/>
    <w:multiLevelType w:val="singleLevel"/>
    <w:tmpl w:val="B7727E3A"/>
    <w:lvl w:ilvl="0">
      <w:start w:val="1"/>
      <w:numFmt w:val="lowerLetter"/>
      <w:suff w:val="space"/>
      <w:lvlText w:val="%1）"/>
      <w:lvlJc w:val="left"/>
      <w:rPr>
        <w:rFonts w:ascii="宋体" w:eastAsia="宋体" w:hAnsi="宋体" w:cs="宋体" w:hint="default"/>
        <w:sz w:val="21"/>
        <w:szCs w:val="21"/>
      </w:rPr>
    </w:lvl>
  </w:abstractNum>
  <w:abstractNum w:abstractNumId="2" w15:restartNumberingAfterBreak="0">
    <w:nsid w:val="D416E2B1"/>
    <w:multiLevelType w:val="singleLevel"/>
    <w:tmpl w:val="D416E2B1"/>
    <w:lvl w:ilvl="0">
      <w:start w:val="1"/>
      <w:numFmt w:val="lowerLetter"/>
      <w:suff w:val="space"/>
      <w:lvlText w:val="%1）"/>
      <w:lvlJc w:val="left"/>
      <w:rPr>
        <w:rFonts w:ascii="宋体" w:eastAsia="宋体" w:hAnsi="宋体" w:cs="宋体" w:hint="default"/>
        <w:sz w:val="21"/>
        <w:szCs w:val="21"/>
      </w:rPr>
    </w:lvl>
  </w:abstractNum>
  <w:abstractNum w:abstractNumId="3" w15:restartNumberingAfterBreak="0">
    <w:nsid w:val="D448365E"/>
    <w:multiLevelType w:val="singleLevel"/>
    <w:tmpl w:val="D448365E"/>
    <w:lvl w:ilvl="0">
      <w:start w:val="1"/>
      <w:numFmt w:val="lowerLetter"/>
      <w:suff w:val="space"/>
      <w:lvlText w:val="%1）"/>
      <w:lvlJc w:val="left"/>
      <w:rPr>
        <w:rFonts w:ascii="宋体" w:eastAsia="宋体" w:hAnsi="宋体" w:cs="宋体" w:hint="default"/>
        <w:sz w:val="21"/>
        <w:szCs w:val="21"/>
      </w:rPr>
    </w:lvl>
  </w:abstractNum>
  <w:abstractNum w:abstractNumId="4" w15:restartNumberingAfterBreak="0">
    <w:nsid w:val="E8AD550C"/>
    <w:multiLevelType w:val="singleLevel"/>
    <w:tmpl w:val="E8AD550C"/>
    <w:lvl w:ilvl="0">
      <w:start w:val="1"/>
      <w:numFmt w:val="lowerLetter"/>
      <w:suff w:val="space"/>
      <w:lvlText w:val="%1）"/>
      <w:lvlJc w:val="left"/>
      <w:rPr>
        <w:rFonts w:ascii="宋体" w:eastAsia="宋体" w:hAnsi="宋体" w:cs="宋体" w:hint="default"/>
        <w:sz w:val="21"/>
        <w:szCs w:val="21"/>
      </w:rPr>
    </w:lvl>
  </w:abstractNum>
  <w:abstractNum w:abstractNumId="5" w15:restartNumberingAfterBreak="0">
    <w:nsid w:val="07ED3FEA"/>
    <w:multiLevelType w:val="multilevel"/>
    <w:tmpl w:val="07ED3FEA"/>
    <w:lvl w:ilvl="0">
      <w:start w:val="1"/>
      <w:numFmt w:val="none"/>
      <w:pStyle w:val="a"/>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F7DC2DC"/>
    <w:multiLevelType w:val="singleLevel"/>
    <w:tmpl w:val="0F7DC2DC"/>
    <w:lvl w:ilvl="0">
      <w:start w:val="1"/>
      <w:numFmt w:val="lowerLetter"/>
      <w:suff w:val="space"/>
      <w:lvlText w:val="%1）"/>
      <w:lvlJc w:val="left"/>
      <w:rPr>
        <w:rFonts w:ascii="宋体" w:eastAsia="宋体" w:hAnsi="宋体" w:cs="宋体" w:hint="default"/>
        <w:sz w:val="21"/>
        <w:szCs w:val="21"/>
      </w:rPr>
    </w:lvl>
  </w:abstractNum>
  <w:abstractNum w:abstractNumId="7" w15:restartNumberingAfterBreak="0">
    <w:nsid w:val="15EF0C26"/>
    <w:multiLevelType w:val="multilevel"/>
    <w:tmpl w:val="15EF0C26"/>
    <w:lvl w:ilvl="0">
      <w:start w:val="1"/>
      <w:numFmt w:val="lowerLetter"/>
      <w:pStyle w:val="a0"/>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16D7562B"/>
    <w:multiLevelType w:val="singleLevel"/>
    <w:tmpl w:val="16D7562B"/>
    <w:lvl w:ilvl="0">
      <w:start w:val="1"/>
      <w:numFmt w:val="lowerLetter"/>
      <w:suff w:val="space"/>
      <w:lvlText w:val="%1）"/>
      <w:lvlJc w:val="left"/>
      <w:rPr>
        <w:rFonts w:ascii="宋体" w:eastAsia="宋体" w:hAnsi="宋体" w:cs="宋体" w:hint="default"/>
        <w:sz w:val="21"/>
        <w:szCs w:val="21"/>
      </w:rPr>
    </w:lvl>
  </w:abstractNum>
  <w:abstractNum w:abstractNumId="9" w15:restartNumberingAfterBreak="0">
    <w:nsid w:val="1DF197E5"/>
    <w:multiLevelType w:val="singleLevel"/>
    <w:tmpl w:val="1DF197E5"/>
    <w:lvl w:ilvl="0">
      <w:start w:val="1"/>
      <w:numFmt w:val="decimal"/>
      <w:suff w:val="space"/>
      <w:lvlText w:val="[%1]"/>
      <w:lvlJc w:val="left"/>
    </w:lvl>
  </w:abstractNum>
  <w:abstractNum w:abstractNumId="10" w15:restartNumberingAfterBreak="0">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3C6C3A3"/>
    <w:multiLevelType w:val="singleLevel"/>
    <w:tmpl w:val="23C6C3A3"/>
    <w:lvl w:ilvl="0">
      <w:start w:val="1"/>
      <w:numFmt w:val="lowerLetter"/>
      <w:suff w:val="space"/>
      <w:lvlText w:val="%1）"/>
      <w:lvlJc w:val="left"/>
      <w:rPr>
        <w:rFonts w:ascii="宋体" w:eastAsia="宋体" w:hAnsi="宋体" w:cs="宋体" w:hint="default"/>
        <w:sz w:val="21"/>
        <w:szCs w:val="21"/>
      </w:rPr>
    </w:lvl>
  </w:abstractNum>
  <w:abstractNum w:abstractNumId="12" w15:restartNumberingAfterBreak="0">
    <w:nsid w:val="2C5917C3"/>
    <w:multiLevelType w:val="multilevel"/>
    <w:tmpl w:val="2C5917C3"/>
    <w:lvl w:ilvl="0">
      <w:start w:val="1"/>
      <w:numFmt w:val="none"/>
      <w:suff w:val="nothing"/>
      <w:lvlText w:val="%1——"/>
      <w:lvlJc w:val="left"/>
      <w:pPr>
        <w:ind w:left="833" w:hanging="408"/>
      </w:pPr>
      <w:rPr>
        <w:rFonts w:hint="eastAsia"/>
        <w:lang w:val="en-US"/>
      </w:rPr>
    </w:lvl>
    <w:lvl w:ilvl="1">
      <w:start w:val="1"/>
      <w:numFmt w:val="bullet"/>
      <w:pStyle w:val="a4"/>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323077B"/>
    <w:multiLevelType w:val="singleLevel"/>
    <w:tmpl w:val="3323077B"/>
    <w:lvl w:ilvl="0">
      <w:start w:val="1"/>
      <w:numFmt w:val="lowerLetter"/>
      <w:suff w:val="space"/>
      <w:lvlText w:val="%1）"/>
      <w:lvlJc w:val="left"/>
      <w:rPr>
        <w:rFonts w:ascii="宋体" w:eastAsia="宋体" w:hAnsi="宋体" w:cs="宋体" w:hint="default"/>
        <w:sz w:val="21"/>
        <w:szCs w:val="21"/>
      </w:rPr>
    </w:lvl>
  </w:abstractNum>
  <w:abstractNum w:abstractNumId="14" w15:restartNumberingAfterBreak="0">
    <w:nsid w:val="48802D1C"/>
    <w:multiLevelType w:val="multilevel"/>
    <w:tmpl w:val="48802D1C"/>
    <w:lvl w:ilvl="0">
      <w:start w:val="1"/>
      <w:numFmt w:val="upperLetter"/>
      <w:lvlText w:val="%1"/>
      <w:lvlJc w:val="left"/>
      <w:pPr>
        <w:ind w:left="420" w:hanging="420"/>
      </w:pPr>
      <w:rPr>
        <w:rFonts w:hint="eastAsia"/>
      </w:rPr>
    </w:lvl>
    <w:lvl w:ilvl="1">
      <w:start w:val="1"/>
      <w:numFmt w:val="decimal"/>
      <w:pStyle w:val="a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14BDDDF"/>
    <w:multiLevelType w:val="singleLevel"/>
    <w:tmpl w:val="514BDDDF"/>
    <w:lvl w:ilvl="0">
      <w:start w:val="1"/>
      <w:numFmt w:val="lowerLetter"/>
      <w:suff w:val="space"/>
      <w:lvlText w:val="%1）"/>
      <w:lvlJc w:val="left"/>
      <w:rPr>
        <w:rFonts w:ascii="宋体" w:eastAsia="宋体" w:hAnsi="宋体" w:cs="宋体" w:hint="default"/>
        <w:sz w:val="21"/>
        <w:szCs w:val="21"/>
      </w:rPr>
    </w:lvl>
  </w:abstractNum>
  <w:abstractNum w:abstractNumId="16" w15:restartNumberingAfterBreak="0">
    <w:nsid w:val="646260FA"/>
    <w:multiLevelType w:val="multilevel"/>
    <w:tmpl w:val="646260FA"/>
    <w:lvl w:ilvl="0">
      <w:start w:val="1"/>
      <w:numFmt w:val="decimal"/>
      <w:pStyle w:val="a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657D3FBC"/>
    <w:multiLevelType w:val="multilevel"/>
    <w:tmpl w:val="657D3FBC"/>
    <w:lvl w:ilvl="0">
      <w:start w:val="1"/>
      <w:numFmt w:val="upperLetter"/>
      <w:pStyle w:val="a7"/>
      <w:suff w:val="nothing"/>
      <w:lvlText w:val="附　录　%1"/>
      <w:lvlJc w:val="left"/>
      <w:pPr>
        <w:ind w:left="4410" w:firstLine="0"/>
      </w:pPr>
      <w:rPr>
        <w:rFonts w:ascii="黑体" w:eastAsia="黑体" w:hAnsi="Times New Roman" w:hint="eastAsia"/>
        <w:b w:val="0"/>
        <w:i w:val="0"/>
        <w:spacing w:val="0"/>
        <w:w w:val="100"/>
        <w:sz w:val="21"/>
      </w:rPr>
    </w:lvl>
    <w:lvl w:ilvl="1">
      <w:start w:val="1"/>
      <w:numFmt w:val="decimal"/>
      <w:pStyle w:val="a8"/>
      <w:suff w:val="nothing"/>
      <w:lvlText w:val="%1.%2　"/>
      <w:lvlJc w:val="left"/>
      <w:pPr>
        <w:ind w:left="44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4410" w:firstLine="0"/>
      </w:pPr>
      <w:rPr>
        <w:rFonts w:ascii="黑体" w:eastAsia="黑体" w:hAnsi="Times New Roman" w:hint="eastAsia"/>
        <w:b w:val="0"/>
        <w:i w:val="0"/>
        <w:sz w:val="21"/>
      </w:rPr>
    </w:lvl>
    <w:lvl w:ilvl="3">
      <w:start w:val="1"/>
      <w:numFmt w:val="decimal"/>
      <w:suff w:val="nothing"/>
      <w:lvlText w:val="%1.%2.%3.%4　"/>
      <w:lvlJc w:val="left"/>
      <w:pPr>
        <w:ind w:left="4410" w:firstLine="0"/>
      </w:pPr>
      <w:rPr>
        <w:rFonts w:ascii="黑体" w:eastAsia="黑体" w:hAnsi="Times New Roman" w:hint="eastAsia"/>
        <w:b w:val="0"/>
        <w:i w:val="0"/>
        <w:sz w:val="21"/>
      </w:rPr>
    </w:lvl>
    <w:lvl w:ilvl="4">
      <w:start w:val="1"/>
      <w:numFmt w:val="decimal"/>
      <w:suff w:val="nothing"/>
      <w:lvlText w:val="%1.%2.%3.%4.%5　"/>
      <w:lvlJc w:val="left"/>
      <w:pPr>
        <w:ind w:left="4410" w:firstLine="0"/>
      </w:pPr>
      <w:rPr>
        <w:rFonts w:ascii="黑体" w:eastAsia="黑体" w:hAnsi="Times New Roman" w:hint="eastAsia"/>
        <w:b w:val="0"/>
        <w:i w:val="0"/>
        <w:sz w:val="21"/>
      </w:rPr>
    </w:lvl>
    <w:lvl w:ilvl="5">
      <w:start w:val="1"/>
      <w:numFmt w:val="decimal"/>
      <w:suff w:val="nothing"/>
      <w:lvlText w:val="%1.%2.%3.%4.%5.%6　"/>
      <w:lvlJc w:val="left"/>
      <w:pPr>
        <w:ind w:left="4410" w:firstLine="0"/>
      </w:pPr>
      <w:rPr>
        <w:rFonts w:ascii="黑体" w:eastAsia="黑体" w:hAnsi="Times New Roman" w:hint="eastAsia"/>
        <w:b w:val="0"/>
        <w:i w:val="0"/>
        <w:sz w:val="21"/>
      </w:rPr>
    </w:lvl>
    <w:lvl w:ilvl="6">
      <w:start w:val="1"/>
      <w:numFmt w:val="decimal"/>
      <w:suff w:val="nothing"/>
      <w:lvlText w:val="%1.%2.%3.%4.%5.%6.%7　"/>
      <w:lvlJc w:val="left"/>
      <w:pPr>
        <w:ind w:left="4410" w:firstLine="0"/>
      </w:pPr>
      <w:rPr>
        <w:rFonts w:ascii="黑体" w:eastAsia="黑体" w:hAnsi="Times New Roman" w:hint="eastAsia"/>
        <w:b w:val="0"/>
        <w:i w:val="0"/>
        <w:sz w:val="21"/>
      </w:rPr>
    </w:lvl>
    <w:lvl w:ilvl="7">
      <w:start w:val="1"/>
      <w:numFmt w:val="decimal"/>
      <w:lvlText w:val="%1.%2.%3.%4.%5.%6.%7.%8"/>
      <w:lvlJc w:val="left"/>
      <w:pPr>
        <w:tabs>
          <w:tab w:val="left" w:pos="4394"/>
        </w:tabs>
        <w:ind w:left="8804" w:hanging="1418"/>
      </w:pPr>
      <w:rPr>
        <w:rFonts w:hint="eastAsia"/>
      </w:rPr>
    </w:lvl>
    <w:lvl w:ilvl="8">
      <w:start w:val="1"/>
      <w:numFmt w:val="decimal"/>
      <w:lvlText w:val="%1.%2.%3.%4.%5.%6.%7.%8.%9"/>
      <w:lvlJc w:val="left"/>
      <w:pPr>
        <w:tabs>
          <w:tab w:val="left" w:pos="5102"/>
        </w:tabs>
        <w:ind w:left="9512" w:hanging="1700"/>
      </w:pPr>
      <w:rPr>
        <w:rFonts w:hint="eastAsia"/>
      </w:r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9"/>
      <w:suff w:val="nothing"/>
      <w:lvlText w:val="%1%2　"/>
      <w:lvlJc w:val="left"/>
      <w:pPr>
        <w:ind w:left="0" w:firstLine="0"/>
      </w:pPr>
      <w:rPr>
        <w:rFonts w:ascii="黑体" w:eastAsia="黑体" w:hint="eastAsia"/>
        <w:b w:val="0"/>
        <w:i w:val="0"/>
        <w:sz w:val="21"/>
      </w:rPr>
    </w:lvl>
    <w:lvl w:ilvl="2">
      <w:start w:val="1"/>
      <w:numFmt w:val="decimal"/>
      <w:pStyle w:val="aa"/>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b"/>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15:restartNumberingAfterBreak="0">
    <w:nsid w:val="6DBF04F4"/>
    <w:multiLevelType w:val="multilevel"/>
    <w:tmpl w:val="6DBF04F4"/>
    <w:lvl w:ilvl="0">
      <w:start w:val="1"/>
      <w:numFmt w:val="none"/>
      <w:pStyle w:val="ac"/>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0" w15:restartNumberingAfterBreak="0">
    <w:nsid w:val="75443250"/>
    <w:multiLevelType w:val="singleLevel"/>
    <w:tmpl w:val="75443250"/>
    <w:lvl w:ilvl="0">
      <w:start w:val="1"/>
      <w:numFmt w:val="lowerLetter"/>
      <w:suff w:val="space"/>
      <w:lvlText w:val="%1）"/>
      <w:lvlJc w:val="left"/>
      <w:rPr>
        <w:rFonts w:ascii="宋体" w:eastAsia="宋体" w:hAnsi="宋体" w:cs="宋体" w:hint="default"/>
        <w:sz w:val="21"/>
        <w:szCs w:val="21"/>
      </w:rPr>
    </w:lvl>
  </w:abstractNum>
  <w:num w:numId="1" w16cid:durableId="462970569">
    <w:abstractNumId w:val="5"/>
  </w:num>
  <w:num w:numId="2" w16cid:durableId="460850297">
    <w:abstractNumId w:val="10"/>
  </w:num>
  <w:num w:numId="3" w16cid:durableId="1878539061">
    <w:abstractNumId w:val="7"/>
  </w:num>
  <w:num w:numId="4" w16cid:durableId="827407296">
    <w:abstractNumId w:val="12"/>
  </w:num>
  <w:num w:numId="5" w16cid:durableId="1987084088">
    <w:abstractNumId w:val="19"/>
  </w:num>
  <w:num w:numId="6" w16cid:durableId="187109101">
    <w:abstractNumId w:val="17"/>
  </w:num>
  <w:num w:numId="7" w16cid:durableId="1322002548">
    <w:abstractNumId w:val="16"/>
  </w:num>
  <w:num w:numId="8" w16cid:durableId="1190800335">
    <w:abstractNumId w:val="18"/>
  </w:num>
  <w:num w:numId="9" w16cid:durableId="1038965591">
    <w:abstractNumId w:val="14"/>
  </w:num>
  <w:num w:numId="10" w16cid:durableId="1611083576">
    <w:abstractNumId w:val="20"/>
  </w:num>
  <w:num w:numId="11" w16cid:durableId="597754591">
    <w:abstractNumId w:val="11"/>
  </w:num>
  <w:num w:numId="12" w16cid:durableId="491063185">
    <w:abstractNumId w:val="13"/>
  </w:num>
  <w:num w:numId="13" w16cid:durableId="1301036899">
    <w:abstractNumId w:val="2"/>
  </w:num>
  <w:num w:numId="14" w16cid:durableId="2013802250">
    <w:abstractNumId w:val="8"/>
  </w:num>
  <w:num w:numId="15" w16cid:durableId="291909162">
    <w:abstractNumId w:val="4"/>
  </w:num>
  <w:num w:numId="16" w16cid:durableId="879127497">
    <w:abstractNumId w:val="6"/>
  </w:num>
  <w:num w:numId="17" w16cid:durableId="2087148683">
    <w:abstractNumId w:val="15"/>
  </w:num>
  <w:num w:numId="18" w16cid:durableId="254751321">
    <w:abstractNumId w:val="3"/>
  </w:num>
  <w:num w:numId="19" w16cid:durableId="230775123">
    <w:abstractNumId w:val="0"/>
  </w:num>
  <w:num w:numId="20" w16cid:durableId="1108739331">
    <w:abstractNumId w:val="1"/>
  </w:num>
  <w:num w:numId="21" w16cid:durableId="683282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ocumentProtection w:edit="trackedChanges" w:enforcement="0"/>
  <w:defaultTabStop w:val="420"/>
  <w:evenAndOddHeaders/>
  <w:drawingGridHorizontalSpacing w:val="105"/>
  <w:drawingGridVerticalSpacing w:val="156"/>
  <w:noPunctuationKerning/>
  <w:characterSpacingControl w:val="compressPunctuation"/>
  <w:hdrShapeDefaults>
    <o:shapedefaults v:ext="edit" spidmax="2050"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JjOTdkMDk2ZTI1OWZiYzFjYTFjZDJlOTYxYjQ5ZTIifQ=="/>
    <w:docVar w:name="KSO_WPS_MARK_KEY" w:val="52548aae-2002-4139-9182-7b8689647ee4"/>
  </w:docVars>
  <w:rsids>
    <w:rsidRoot w:val="002C4A7A"/>
    <w:rsid w:val="00000C6F"/>
    <w:rsid w:val="00002D7A"/>
    <w:rsid w:val="00005817"/>
    <w:rsid w:val="00013861"/>
    <w:rsid w:val="000173A8"/>
    <w:rsid w:val="0001746B"/>
    <w:rsid w:val="00031630"/>
    <w:rsid w:val="0003782B"/>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A05E2"/>
    <w:rsid w:val="000B1AD2"/>
    <w:rsid w:val="000B5222"/>
    <w:rsid w:val="000C1F9F"/>
    <w:rsid w:val="000D3EF6"/>
    <w:rsid w:val="000D5C84"/>
    <w:rsid w:val="000E084D"/>
    <w:rsid w:val="000E4AD1"/>
    <w:rsid w:val="000F2CB4"/>
    <w:rsid w:val="001103A2"/>
    <w:rsid w:val="00110D5E"/>
    <w:rsid w:val="00110EC6"/>
    <w:rsid w:val="00112AF7"/>
    <w:rsid w:val="00113409"/>
    <w:rsid w:val="001202C0"/>
    <w:rsid w:val="00120961"/>
    <w:rsid w:val="0012099B"/>
    <w:rsid w:val="00133094"/>
    <w:rsid w:val="0014534C"/>
    <w:rsid w:val="001462B7"/>
    <w:rsid w:val="00147278"/>
    <w:rsid w:val="00147564"/>
    <w:rsid w:val="00147A7E"/>
    <w:rsid w:val="00147F7E"/>
    <w:rsid w:val="001516E1"/>
    <w:rsid w:val="0015700F"/>
    <w:rsid w:val="0016095C"/>
    <w:rsid w:val="0016154E"/>
    <w:rsid w:val="001720FB"/>
    <w:rsid w:val="00173651"/>
    <w:rsid w:val="0017564C"/>
    <w:rsid w:val="00175A7C"/>
    <w:rsid w:val="001760F7"/>
    <w:rsid w:val="00176E61"/>
    <w:rsid w:val="00195C90"/>
    <w:rsid w:val="0019613E"/>
    <w:rsid w:val="001A1683"/>
    <w:rsid w:val="001A2848"/>
    <w:rsid w:val="001A2A72"/>
    <w:rsid w:val="001A2CD6"/>
    <w:rsid w:val="001B007D"/>
    <w:rsid w:val="001B0CF3"/>
    <w:rsid w:val="001B3AC1"/>
    <w:rsid w:val="001C0F5C"/>
    <w:rsid w:val="001C10DE"/>
    <w:rsid w:val="001C3415"/>
    <w:rsid w:val="001C4DED"/>
    <w:rsid w:val="001C7FB4"/>
    <w:rsid w:val="001D0910"/>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30CF6"/>
    <w:rsid w:val="00230F2F"/>
    <w:rsid w:val="00247720"/>
    <w:rsid w:val="00251127"/>
    <w:rsid w:val="00251550"/>
    <w:rsid w:val="002517ED"/>
    <w:rsid w:val="00262444"/>
    <w:rsid w:val="00276A28"/>
    <w:rsid w:val="002829F1"/>
    <w:rsid w:val="0028337F"/>
    <w:rsid w:val="00285357"/>
    <w:rsid w:val="00286986"/>
    <w:rsid w:val="00290F18"/>
    <w:rsid w:val="00293BD3"/>
    <w:rsid w:val="002950A9"/>
    <w:rsid w:val="00296094"/>
    <w:rsid w:val="002A2A23"/>
    <w:rsid w:val="002A4D51"/>
    <w:rsid w:val="002A5A01"/>
    <w:rsid w:val="002A5BCE"/>
    <w:rsid w:val="002B3E52"/>
    <w:rsid w:val="002B5800"/>
    <w:rsid w:val="002C253D"/>
    <w:rsid w:val="002C3A09"/>
    <w:rsid w:val="002C4A7A"/>
    <w:rsid w:val="002C57A0"/>
    <w:rsid w:val="002C639A"/>
    <w:rsid w:val="002D2351"/>
    <w:rsid w:val="002D38F3"/>
    <w:rsid w:val="002D49DC"/>
    <w:rsid w:val="002D54BC"/>
    <w:rsid w:val="002E5B5C"/>
    <w:rsid w:val="002F2052"/>
    <w:rsid w:val="002F2C23"/>
    <w:rsid w:val="002F3CCA"/>
    <w:rsid w:val="00301D6E"/>
    <w:rsid w:val="0030224A"/>
    <w:rsid w:val="00302D0D"/>
    <w:rsid w:val="00304C82"/>
    <w:rsid w:val="00311B67"/>
    <w:rsid w:val="0031322E"/>
    <w:rsid w:val="00317DB9"/>
    <w:rsid w:val="00327834"/>
    <w:rsid w:val="00330DE3"/>
    <w:rsid w:val="00334B35"/>
    <w:rsid w:val="00334DA4"/>
    <w:rsid w:val="00335ABA"/>
    <w:rsid w:val="00340030"/>
    <w:rsid w:val="00340CAC"/>
    <w:rsid w:val="003422C6"/>
    <w:rsid w:val="003438AA"/>
    <w:rsid w:val="00344E14"/>
    <w:rsid w:val="0034543B"/>
    <w:rsid w:val="00346C04"/>
    <w:rsid w:val="00354DAE"/>
    <w:rsid w:val="00355096"/>
    <w:rsid w:val="003568F1"/>
    <w:rsid w:val="00362FF0"/>
    <w:rsid w:val="003662BC"/>
    <w:rsid w:val="00366DB7"/>
    <w:rsid w:val="00367200"/>
    <w:rsid w:val="0037136A"/>
    <w:rsid w:val="003720DC"/>
    <w:rsid w:val="00375FCF"/>
    <w:rsid w:val="003866C3"/>
    <w:rsid w:val="00387FF8"/>
    <w:rsid w:val="00393266"/>
    <w:rsid w:val="003A0DBB"/>
    <w:rsid w:val="003A238B"/>
    <w:rsid w:val="003B6878"/>
    <w:rsid w:val="003C0E5B"/>
    <w:rsid w:val="003C2C65"/>
    <w:rsid w:val="003C31B0"/>
    <w:rsid w:val="003D0151"/>
    <w:rsid w:val="003D13FA"/>
    <w:rsid w:val="003D1497"/>
    <w:rsid w:val="003E0580"/>
    <w:rsid w:val="003E28CE"/>
    <w:rsid w:val="003F714F"/>
    <w:rsid w:val="00407B9E"/>
    <w:rsid w:val="00417738"/>
    <w:rsid w:val="0042003E"/>
    <w:rsid w:val="004212D3"/>
    <w:rsid w:val="00422051"/>
    <w:rsid w:val="0042333A"/>
    <w:rsid w:val="00426BC8"/>
    <w:rsid w:val="00430DD2"/>
    <w:rsid w:val="004426FC"/>
    <w:rsid w:val="0044581A"/>
    <w:rsid w:val="00451407"/>
    <w:rsid w:val="00451847"/>
    <w:rsid w:val="00454031"/>
    <w:rsid w:val="0045451F"/>
    <w:rsid w:val="004574AE"/>
    <w:rsid w:val="004610BF"/>
    <w:rsid w:val="00471508"/>
    <w:rsid w:val="004926A0"/>
    <w:rsid w:val="00495E4E"/>
    <w:rsid w:val="004A0644"/>
    <w:rsid w:val="004A132F"/>
    <w:rsid w:val="004A6AB6"/>
    <w:rsid w:val="004B01AE"/>
    <w:rsid w:val="004B12F5"/>
    <w:rsid w:val="004B2D06"/>
    <w:rsid w:val="004B540D"/>
    <w:rsid w:val="004C2F70"/>
    <w:rsid w:val="004C5E71"/>
    <w:rsid w:val="004D09E4"/>
    <w:rsid w:val="004D424C"/>
    <w:rsid w:val="004D5B9A"/>
    <w:rsid w:val="004E01DA"/>
    <w:rsid w:val="004E3E2D"/>
    <w:rsid w:val="004E4186"/>
    <w:rsid w:val="004E4DE6"/>
    <w:rsid w:val="004F0C75"/>
    <w:rsid w:val="004F3DCC"/>
    <w:rsid w:val="00506EF4"/>
    <w:rsid w:val="005102EF"/>
    <w:rsid w:val="00510EBE"/>
    <w:rsid w:val="005122CD"/>
    <w:rsid w:val="00520237"/>
    <w:rsid w:val="00523728"/>
    <w:rsid w:val="00524CE2"/>
    <w:rsid w:val="0053086A"/>
    <w:rsid w:val="00534D92"/>
    <w:rsid w:val="00536AD1"/>
    <w:rsid w:val="00540818"/>
    <w:rsid w:val="00542910"/>
    <w:rsid w:val="00546657"/>
    <w:rsid w:val="00554600"/>
    <w:rsid w:val="0055478B"/>
    <w:rsid w:val="005606B4"/>
    <w:rsid w:val="00563D0F"/>
    <w:rsid w:val="005701EA"/>
    <w:rsid w:val="00575480"/>
    <w:rsid w:val="00591331"/>
    <w:rsid w:val="005928C2"/>
    <w:rsid w:val="00596070"/>
    <w:rsid w:val="005A2C7F"/>
    <w:rsid w:val="005A4975"/>
    <w:rsid w:val="005A60AC"/>
    <w:rsid w:val="005B6D29"/>
    <w:rsid w:val="005C370B"/>
    <w:rsid w:val="005E015F"/>
    <w:rsid w:val="005E1CA7"/>
    <w:rsid w:val="005F2DCC"/>
    <w:rsid w:val="005F5CFF"/>
    <w:rsid w:val="00600F7C"/>
    <w:rsid w:val="006045C0"/>
    <w:rsid w:val="00610AF4"/>
    <w:rsid w:val="00613357"/>
    <w:rsid w:val="00616AFA"/>
    <w:rsid w:val="00621AD2"/>
    <w:rsid w:val="00626507"/>
    <w:rsid w:val="0062656D"/>
    <w:rsid w:val="00633884"/>
    <w:rsid w:val="00635FE2"/>
    <w:rsid w:val="00637850"/>
    <w:rsid w:val="00640CD9"/>
    <w:rsid w:val="00646C9D"/>
    <w:rsid w:val="006476F3"/>
    <w:rsid w:val="0065660B"/>
    <w:rsid w:val="00662568"/>
    <w:rsid w:val="006738FB"/>
    <w:rsid w:val="00673C24"/>
    <w:rsid w:val="006763FD"/>
    <w:rsid w:val="006839CD"/>
    <w:rsid w:val="006867E4"/>
    <w:rsid w:val="00686AB4"/>
    <w:rsid w:val="00687FF9"/>
    <w:rsid w:val="00694817"/>
    <w:rsid w:val="00695FD6"/>
    <w:rsid w:val="006965B2"/>
    <w:rsid w:val="00697323"/>
    <w:rsid w:val="006A3A00"/>
    <w:rsid w:val="006A587D"/>
    <w:rsid w:val="006B00F8"/>
    <w:rsid w:val="006B0EDD"/>
    <w:rsid w:val="006B4E4A"/>
    <w:rsid w:val="006D1713"/>
    <w:rsid w:val="006D3593"/>
    <w:rsid w:val="006D384B"/>
    <w:rsid w:val="006D7F23"/>
    <w:rsid w:val="006E42DF"/>
    <w:rsid w:val="006E6B90"/>
    <w:rsid w:val="00705B6D"/>
    <w:rsid w:val="0070744F"/>
    <w:rsid w:val="007078CB"/>
    <w:rsid w:val="00711444"/>
    <w:rsid w:val="00716D47"/>
    <w:rsid w:val="00717C25"/>
    <w:rsid w:val="00720335"/>
    <w:rsid w:val="00721D42"/>
    <w:rsid w:val="00723CE8"/>
    <w:rsid w:val="00724CC3"/>
    <w:rsid w:val="00732CFF"/>
    <w:rsid w:val="00732DD3"/>
    <w:rsid w:val="00733FAB"/>
    <w:rsid w:val="00734A6B"/>
    <w:rsid w:val="00736BCB"/>
    <w:rsid w:val="007373F7"/>
    <w:rsid w:val="007404DC"/>
    <w:rsid w:val="0074159C"/>
    <w:rsid w:val="0074173E"/>
    <w:rsid w:val="00741CBE"/>
    <w:rsid w:val="00743636"/>
    <w:rsid w:val="00751B91"/>
    <w:rsid w:val="00754A67"/>
    <w:rsid w:val="007569D0"/>
    <w:rsid w:val="00762676"/>
    <w:rsid w:val="007667E9"/>
    <w:rsid w:val="007747B0"/>
    <w:rsid w:val="00775703"/>
    <w:rsid w:val="0077630C"/>
    <w:rsid w:val="00777F91"/>
    <w:rsid w:val="00784961"/>
    <w:rsid w:val="007906E7"/>
    <w:rsid w:val="00790CFC"/>
    <w:rsid w:val="00793C9B"/>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23C4"/>
    <w:rsid w:val="00885586"/>
    <w:rsid w:val="00886D2A"/>
    <w:rsid w:val="00892FE8"/>
    <w:rsid w:val="008A525F"/>
    <w:rsid w:val="008A778B"/>
    <w:rsid w:val="008A7A04"/>
    <w:rsid w:val="008B2AA1"/>
    <w:rsid w:val="008B4744"/>
    <w:rsid w:val="008B4CD3"/>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EE2"/>
    <w:rsid w:val="00911475"/>
    <w:rsid w:val="00912AA0"/>
    <w:rsid w:val="00914E1E"/>
    <w:rsid w:val="0092183B"/>
    <w:rsid w:val="00922FAC"/>
    <w:rsid w:val="009304BF"/>
    <w:rsid w:val="00932FD3"/>
    <w:rsid w:val="00941A12"/>
    <w:rsid w:val="00941B18"/>
    <w:rsid w:val="009449CC"/>
    <w:rsid w:val="00945592"/>
    <w:rsid w:val="00953360"/>
    <w:rsid w:val="009534B7"/>
    <w:rsid w:val="0095703E"/>
    <w:rsid w:val="0096181B"/>
    <w:rsid w:val="00961EC7"/>
    <w:rsid w:val="00970C6E"/>
    <w:rsid w:val="00975728"/>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5852"/>
    <w:rsid w:val="009D5D3B"/>
    <w:rsid w:val="009E229D"/>
    <w:rsid w:val="009E4501"/>
    <w:rsid w:val="009F022A"/>
    <w:rsid w:val="009F25EB"/>
    <w:rsid w:val="009F4144"/>
    <w:rsid w:val="009F655E"/>
    <w:rsid w:val="00A0144F"/>
    <w:rsid w:val="00A0565D"/>
    <w:rsid w:val="00A0685D"/>
    <w:rsid w:val="00A06B8F"/>
    <w:rsid w:val="00A129D5"/>
    <w:rsid w:val="00A25BFF"/>
    <w:rsid w:val="00A26884"/>
    <w:rsid w:val="00A27283"/>
    <w:rsid w:val="00A2795C"/>
    <w:rsid w:val="00A31209"/>
    <w:rsid w:val="00A32E92"/>
    <w:rsid w:val="00A35EAE"/>
    <w:rsid w:val="00A415A9"/>
    <w:rsid w:val="00A421AD"/>
    <w:rsid w:val="00A516F3"/>
    <w:rsid w:val="00A52074"/>
    <w:rsid w:val="00A561C6"/>
    <w:rsid w:val="00A62CE9"/>
    <w:rsid w:val="00A634E6"/>
    <w:rsid w:val="00A66329"/>
    <w:rsid w:val="00A7056C"/>
    <w:rsid w:val="00A713B5"/>
    <w:rsid w:val="00A72B72"/>
    <w:rsid w:val="00A73768"/>
    <w:rsid w:val="00A82403"/>
    <w:rsid w:val="00A87B13"/>
    <w:rsid w:val="00A92BF9"/>
    <w:rsid w:val="00A96125"/>
    <w:rsid w:val="00AA0DC4"/>
    <w:rsid w:val="00AA377C"/>
    <w:rsid w:val="00AA425D"/>
    <w:rsid w:val="00AB2CAF"/>
    <w:rsid w:val="00AB64F6"/>
    <w:rsid w:val="00AD00A8"/>
    <w:rsid w:val="00AD428E"/>
    <w:rsid w:val="00AD74A7"/>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3754"/>
    <w:rsid w:val="00B36BE0"/>
    <w:rsid w:val="00B37391"/>
    <w:rsid w:val="00B42D11"/>
    <w:rsid w:val="00B42FF5"/>
    <w:rsid w:val="00B450A3"/>
    <w:rsid w:val="00B61230"/>
    <w:rsid w:val="00B61250"/>
    <w:rsid w:val="00B618E8"/>
    <w:rsid w:val="00B634DB"/>
    <w:rsid w:val="00B64FF7"/>
    <w:rsid w:val="00B66014"/>
    <w:rsid w:val="00B759FB"/>
    <w:rsid w:val="00B857D0"/>
    <w:rsid w:val="00B97265"/>
    <w:rsid w:val="00BA4CDD"/>
    <w:rsid w:val="00BA70BA"/>
    <w:rsid w:val="00BA7E3E"/>
    <w:rsid w:val="00BB0517"/>
    <w:rsid w:val="00BC34A7"/>
    <w:rsid w:val="00BC6585"/>
    <w:rsid w:val="00BC76F2"/>
    <w:rsid w:val="00BD3F71"/>
    <w:rsid w:val="00BD44B5"/>
    <w:rsid w:val="00BE3C8C"/>
    <w:rsid w:val="00BE537A"/>
    <w:rsid w:val="00BE6581"/>
    <w:rsid w:val="00BF4AEF"/>
    <w:rsid w:val="00C042FA"/>
    <w:rsid w:val="00C1161C"/>
    <w:rsid w:val="00C16AD7"/>
    <w:rsid w:val="00C20320"/>
    <w:rsid w:val="00C2384C"/>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624AE"/>
    <w:rsid w:val="00C657CE"/>
    <w:rsid w:val="00C65B45"/>
    <w:rsid w:val="00C672AB"/>
    <w:rsid w:val="00C67BC0"/>
    <w:rsid w:val="00C7008A"/>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C376C"/>
    <w:rsid w:val="00CE0575"/>
    <w:rsid w:val="00CE1209"/>
    <w:rsid w:val="00CE274E"/>
    <w:rsid w:val="00CE5A6D"/>
    <w:rsid w:val="00CF2291"/>
    <w:rsid w:val="00D069E0"/>
    <w:rsid w:val="00D137EA"/>
    <w:rsid w:val="00D169F2"/>
    <w:rsid w:val="00D20D83"/>
    <w:rsid w:val="00D2420F"/>
    <w:rsid w:val="00D256C0"/>
    <w:rsid w:val="00D32A80"/>
    <w:rsid w:val="00D403C5"/>
    <w:rsid w:val="00D4585F"/>
    <w:rsid w:val="00D47CAE"/>
    <w:rsid w:val="00D50BA3"/>
    <w:rsid w:val="00D53255"/>
    <w:rsid w:val="00D6138F"/>
    <w:rsid w:val="00D624B9"/>
    <w:rsid w:val="00D6371B"/>
    <w:rsid w:val="00D642F5"/>
    <w:rsid w:val="00D7138D"/>
    <w:rsid w:val="00D7526C"/>
    <w:rsid w:val="00D77234"/>
    <w:rsid w:val="00D80501"/>
    <w:rsid w:val="00D81394"/>
    <w:rsid w:val="00D85470"/>
    <w:rsid w:val="00D86D72"/>
    <w:rsid w:val="00D914B1"/>
    <w:rsid w:val="00D91668"/>
    <w:rsid w:val="00D965AB"/>
    <w:rsid w:val="00D965BD"/>
    <w:rsid w:val="00DA7326"/>
    <w:rsid w:val="00DB3696"/>
    <w:rsid w:val="00DC418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20A7B"/>
    <w:rsid w:val="00E22829"/>
    <w:rsid w:val="00E3004D"/>
    <w:rsid w:val="00E31B6C"/>
    <w:rsid w:val="00E3509B"/>
    <w:rsid w:val="00E3537D"/>
    <w:rsid w:val="00E36C78"/>
    <w:rsid w:val="00E401C4"/>
    <w:rsid w:val="00E42F0F"/>
    <w:rsid w:val="00E45044"/>
    <w:rsid w:val="00E504BD"/>
    <w:rsid w:val="00E537D1"/>
    <w:rsid w:val="00E55655"/>
    <w:rsid w:val="00E621A8"/>
    <w:rsid w:val="00E72AA8"/>
    <w:rsid w:val="00E72BBB"/>
    <w:rsid w:val="00E81B66"/>
    <w:rsid w:val="00E8389F"/>
    <w:rsid w:val="00E84983"/>
    <w:rsid w:val="00E90FDD"/>
    <w:rsid w:val="00E91C59"/>
    <w:rsid w:val="00E96805"/>
    <w:rsid w:val="00EA115D"/>
    <w:rsid w:val="00EB1109"/>
    <w:rsid w:val="00EB2C29"/>
    <w:rsid w:val="00EB2DBC"/>
    <w:rsid w:val="00EB3505"/>
    <w:rsid w:val="00EB3E6D"/>
    <w:rsid w:val="00EB474D"/>
    <w:rsid w:val="00EB5D5A"/>
    <w:rsid w:val="00EB6A2C"/>
    <w:rsid w:val="00EC1078"/>
    <w:rsid w:val="00EC6E3E"/>
    <w:rsid w:val="00ED3E70"/>
    <w:rsid w:val="00ED4091"/>
    <w:rsid w:val="00ED5E11"/>
    <w:rsid w:val="00EE05AC"/>
    <w:rsid w:val="00EE07BC"/>
    <w:rsid w:val="00EE2AFA"/>
    <w:rsid w:val="00EE4615"/>
    <w:rsid w:val="00EE4642"/>
    <w:rsid w:val="00EF0721"/>
    <w:rsid w:val="00EF20A1"/>
    <w:rsid w:val="00F12CCA"/>
    <w:rsid w:val="00F16A12"/>
    <w:rsid w:val="00F16BA1"/>
    <w:rsid w:val="00F200FB"/>
    <w:rsid w:val="00F233DA"/>
    <w:rsid w:val="00F26471"/>
    <w:rsid w:val="00F31218"/>
    <w:rsid w:val="00F435EB"/>
    <w:rsid w:val="00F535DE"/>
    <w:rsid w:val="00F55043"/>
    <w:rsid w:val="00F57198"/>
    <w:rsid w:val="00F63CB5"/>
    <w:rsid w:val="00F65D80"/>
    <w:rsid w:val="00F7039A"/>
    <w:rsid w:val="00F71261"/>
    <w:rsid w:val="00F74A9C"/>
    <w:rsid w:val="00F770EC"/>
    <w:rsid w:val="00F7776A"/>
    <w:rsid w:val="00F86029"/>
    <w:rsid w:val="00F87873"/>
    <w:rsid w:val="00F936A8"/>
    <w:rsid w:val="00F9473B"/>
    <w:rsid w:val="00F95647"/>
    <w:rsid w:val="00FA7729"/>
    <w:rsid w:val="00FB2A20"/>
    <w:rsid w:val="00FB2C86"/>
    <w:rsid w:val="00FB5098"/>
    <w:rsid w:val="00FB5530"/>
    <w:rsid w:val="00FC4373"/>
    <w:rsid w:val="00FC741B"/>
    <w:rsid w:val="00FC7C26"/>
    <w:rsid w:val="00FD0995"/>
    <w:rsid w:val="00FD4916"/>
    <w:rsid w:val="00FD6E30"/>
    <w:rsid w:val="00FE06BE"/>
    <w:rsid w:val="00FE26D3"/>
    <w:rsid w:val="00FE6BAA"/>
    <w:rsid w:val="00FE7CB2"/>
    <w:rsid w:val="00FF2E8A"/>
    <w:rsid w:val="00FF47E6"/>
    <w:rsid w:val="01787946"/>
    <w:rsid w:val="01B97F5E"/>
    <w:rsid w:val="02577460"/>
    <w:rsid w:val="02670DCF"/>
    <w:rsid w:val="032A3D5D"/>
    <w:rsid w:val="034D2939"/>
    <w:rsid w:val="043164D2"/>
    <w:rsid w:val="04DB69C7"/>
    <w:rsid w:val="056C2AC8"/>
    <w:rsid w:val="065A0943"/>
    <w:rsid w:val="07516AFE"/>
    <w:rsid w:val="078D3A1F"/>
    <w:rsid w:val="08D94A4A"/>
    <w:rsid w:val="09332050"/>
    <w:rsid w:val="0939688D"/>
    <w:rsid w:val="09652865"/>
    <w:rsid w:val="097D3D26"/>
    <w:rsid w:val="0ADA2F69"/>
    <w:rsid w:val="0AE10BBF"/>
    <w:rsid w:val="0B4B7E79"/>
    <w:rsid w:val="0BBA5614"/>
    <w:rsid w:val="0BBD0185"/>
    <w:rsid w:val="0D011260"/>
    <w:rsid w:val="10F22B45"/>
    <w:rsid w:val="11DC532B"/>
    <w:rsid w:val="11EA4A5D"/>
    <w:rsid w:val="123426ED"/>
    <w:rsid w:val="1330335A"/>
    <w:rsid w:val="13492913"/>
    <w:rsid w:val="14AB42D7"/>
    <w:rsid w:val="159863B1"/>
    <w:rsid w:val="15AC30A1"/>
    <w:rsid w:val="1614131D"/>
    <w:rsid w:val="16B6476F"/>
    <w:rsid w:val="188203E3"/>
    <w:rsid w:val="1986454E"/>
    <w:rsid w:val="19BD2F50"/>
    <w:rsid w:val="19D653D3"/>
    <w:rsid w:val="19E576EB"/>
    <w:rsid w:val="1A9F3EA8"/>
    <w:rsid w:val="1AF62448"/>
    <w:rsid w:val="1CE617B0"/>
    <w:rsid w:val="1D475092"/>
    <w:rsid w:val="1DAC49BC"/>
    <w:rsid w:val="1E901E0D"/>
    <w:rsid w:val="1EFC4C0E"/>
    <w:rsid w:val="1F3709E9"/>
    <w:rsid w:val="1F5511FE"/>
    <w:rsid w:val="1F791B4A"/>
    <w:rsid w:val="1FAF288E"/>
    <w:rsid w:val="1FF922F7"/>
    <w:rsid w:val="20057A70"/>
    <w:rsid w:val="203A6C9D"/>
    <w:rsid w:val="214175FD"/>
    <w:rsid w:val="21F62C07"/>
    <w:rsid w:val="22467B33"/>
    <w:rsid w:val="235D1A58"/>
    <w:rsid w:val="23893375"/>
    <w:rsid w:val="23D049E7"/>
    <w:rsid w:val="23DA7FC3"/>
    <w:rsid w:val="24F31A54"/>
    <w:rsid w:val="262E49A9"/>
    <w:rsid w:val="270F25CB"/>
    <w:rsid w:val="291C47AB"/>
    <w:rsid w:val="299E589B"/>
    <w:rsid w:val="29DD2289"/>
    <w:rsid w:val="2A9E6EDA"/>
    <w:rsid w:val="2AC259E9"/>
    <w:rsid w:val="2CB75DB7"/>
    <w:rsid w:val="2E187C37"/>
    <w:rsid w:val="2E3D31FA"/>
    <w:rsid w:val="2F033AB7"/>
    <w:rsid w:val="2FC604F2"/>
    <w:rsid w:val="30512DC8"/>
    <w:rsid w:val="305807BF"/>
    <w:rsid w:val="30BA0FA5"/>
    <w:rsid w:val="324F351A"/>
    <w:rsid w:val="32697E49"/>
    <w:rsid w:val="33274478"/>
    <w:rsid w:val="355276CD"/>
    <w:rsid w:val="35E6061B"/>
    <w:rsid w:val="37875802"/>
    <w:rsid w:val="397A5D84"/>
    <w:rsid w:val="3A38257A"/>
    <w:rsid w:val="3A773D1D"/>
    <w:rsid w:val="3B337E5E"/>
    <w:rsid w:val="3BBA78A7"/>
    <w:rsid w:val="3C153A08"/>
    <w:rsid w:val="3D3430ED"/>
    <w:rsid w:val="3D406BF5"/>
    <w:rsid w:val="3D6F398A"/>
    <w:rsid w:val="3D9E1027"/>
    <w:rsid w:val="3E6447D3"/>
    <w:rsid w:val="3FCB4391"/>
    <w:rsid w:val="407103DB"/>
    <w:rsid w:val="41DD26A1"/>
    <w:rsid w:val="42273B3E"/>
    <w:rsid w:val="432D5ADB"/>
    <w:rsid w:val="455B5C08"/>
    <w:rsid w:val="459E4A6E"/>
    <w:rsid w:val="45E5444B"/>
    <w:rsid w:val="46024881"/>
    <w:rsid w:val="46432AD9"/>
    <w:rsid w:val="48C6265B"/>
    <w:rsid w:val="491679AE"/>
    <w:rsid w:val="4CC8541E"/>
    <w:rsid w:val="4CCC676A"/>
    <w:rsid w:val="4D7C7F66"/>
    <w:rsid w:val="4E497F1B"/>
    <w:rsid w:val="4E72372F"/>
    <w:rsid w:val="4E826BA1"/>
    <w:rsid w:val="4FB262DF"/>
    <w:rsid w:val="502913D8"/>
    <w:rsid w:val="50406E4E"/>
    <w:rsid w:val="506A1CDA"/>
    <w:rsid w:val="513145D7"/>
    <w:rsid w:val="51DB264E"/>
    <w:rsid w:val="52013E99"/>
    <w:rsid w:val="52884ADC"/>
    <w:rsid w:val="54EF45B2"/>
    <w:rsid w:val="5600573E"/>
    <w:rsid w:val="561C68FE"/>
    <w:rsid w:val="56FA05E0"/>
    <w:rsid w:val="57205312"/>
    <w:rsid w:val="575B4970"/>
    <w:rsid w:val="57D007B0"/>
    <w:rsid w:val="58953240"/>
    <w:rsid w:val="597102CD"/>
    <w:rsid w:val="5AA42EE1"/>
    <w:rsid w:val="5ADD04B0"/>
    <w:rsid w:val="5CE97CE3"/>
    <w:rsid w:val="5E127A94"/>
    <w:rsid w:val="5EC2103E"/>
    <w:rsid w:val="5ECA56E4"/>
    <w:rsid w:val="5F3651D2"/>
    <w:rsid w:val="61E0223F"/>
    <w:rsid w:val="62275A9D"/>
    <w:rsid w:val="62A274F4"/>
    <w:rsid w:val="63473BF7"/>
    <w:rsid w:val="64490C49"/>
    <w:rsid w:val="66832C22"/>
    <w:rsid w:val="66EB129C"/>
    <w:rsid w:val="672B1643"/>
    <w:rsid w:val="67451519"/>
    <w:rsid w:val="68706054"/>
    <w:rsid w:val="688A0DE6"/>
    <w:rsid w:val="68917B90"/>
    <w:rsid w:val="68F02F9E"/>
    <w:rsid w:val="691D1DC4"/>
    <w:rsid w:val="69CF4947"/>
    <w:rsid w:val="6A4626EF"/>
    <w:rsid w:val="6A7C706D"/>
    <w:rsid w:val="6ADF74D7"/>
    <w:rsid w:val="6BCA186A"/>
    <w:rsid w:val="6C0563E5"/>
    <w:rsid w:val="6C6C0C3F"/>
    <w:rsid w:val="6C89702F"/>
    <w:rsid w:val="6C917B8F"/>
    <w:rsid w:val="6DAD049D"/>
    <w:rsid w:val="6EA463A2"/>
    <w:rsid w:val="6ECD387A"/>
    <w:rsid w:val="6F2F03DB"/>
    <w:rsid w:val="6FF139B8"/>
    <w:rsid w:val="70064409"/>
    <w:rsid w:val="72127AC6"/>
    <w:rsid w:val="73F5583C"/>
    <w:rsid w:val="748E5C99"/>
    <w:rsid w:val="74BF2C7A"/>
    <w:rsid w:val="75682D8E"/>
    <w:rsid w:val="75A31161"/>
    <w:rsid w:val="75D25B10"/>
    <w:rsid w:val="76442929"/>
    <w:rsid w:val="76C27A63"/>
    <w:rsid w:val="775F555C"/>
    <w:rsid w:val="79366790"/>
    <w:rsid w:val="795409C4"/>
    <w:rsid w:val="7AF60F49"/>
    <w:rsid w:val="7BBE3424"/>
    <w:rsid w:val="7C8A4E29"/>
    <w:rsid w:val="7E0328BC"/>
    <w:rsid w:val="7FAC1FBF"/>
    <w:rsid w:val="7FC11C53"/>
    <w:rsid w:val="7FF5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f">
      <v:fill color="white"/>
      <v:stroke on="f"/>
    </o:shapedefaults>
    <o:shapelayout v:ext="edit">
      <o:idmap v:ext="edit" data="2"/>
    </o:shapelayout>
  </w:shapeDefaults>
  <w:decimalSymbol w:val="."/>
  <w:listSeparator w:val=","/>
  <w14:docId w14:val="15FB41D5"/>
  <w15:docId w15:val="{1C446FB6-6F77-43A0-A34B-3AECAE04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d">
    <w:name w:val="Normal"/>
    <w:next w:val="ae"/>
    <w:qFormat/>
    <w:pPr>
      <w:widowControl w:val="0"/>
      <w:jc w:val="both"/>
    </w:pPr>
    <w:rPr>
      <w:rFonts w:asciiTheme="minorHAnsi" w:eastAsiaTheme="minorEastAsia" w:hAnsiTheme="minorHAnsi" w:cstheme="minorBidi"/>
      <w:kern w:val="2"/>
      <w:sz w:val="21"/>
      <w:szCs w:val="22"/>
    </w:rPr>
  </w:style>
  <w:style w:type="paragraph" w:styleId="1">
    <w:name w:val="heading 1"/>
    <w:basedOn w:val="ad"/>
    <w:next w:val="ad"/>
    <w:link w:val="10"/>
    <w:uiPriority w:val="99"/>
    <w:qFormat/>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d"/>
    <w:next w:val="ad"/>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d"/>
    <w:next w:val="ad"/>
    <w:link w:val="30"/>
    <w:uiPriority w:val="9"/>
    <w:semiHidden/>
    <w:unhideWhenUsed/>
    <w:qFormat/>
    <w:pPr>
      <w:keepNext/>
      <w:keepLines/>
      <w:spacing w:before="260" w:after="260" w:line="416" w:lineRule="auto"/>
      <w:outlineLvl w:val="2"/>
    </w:pPr>
    <w:rPr>
      <w:b/>
      <w:bCs/>
      <w:sz w:val="32"/>
      <w:szCs w:val="32"/>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e">
    <w:name w:val="Body Text"/>
    <w:basedOn w:val="ad"/>
    <w:qFormat/>
  </w:style>
  <w:style w:type="paragraph" w:styleId="af2">
    <w:name w:val="Normal Indent"/>
    <w:basedOn w:val="ad"/>
    <w:next w:val="af3"/>
    <w:qFormat/>
    <w:pPr>
      <w:ind w:firstLine="420"/>
    </w:pPr>
  </w:style>
  <w:style w:type="paragraph" w:styleId="af3">
    <w:name w:val="envelope return"/>
    <w:basedOn w:val="ad"/>
    <w:qFormat/>
    <w:pPr>
      <w:snapToGrid w:val="0"/>
    </w:pPr>
    <w:rPr>
      <w:rFonts w:ascii="Arial" w:eastAsia="仿宋_GB2312" w:hAnsi="Arial"/>
      <w:sz w:val="32"/>
    </w:rPr>
  </w:style>
  <w:style w:type="paragraph" w:styleId="af4">
    <w:name w:val="annotation text"/>
    <w:basedOn w:val="ad"/>
    <w:uiPriority w:val="99"/>
    <w:semiHidden/>
    <w:unhideWhenUsed/>
    <w:qFormat/>
    <w:pPr>
      <w:jc w:val="left"/>
    </w:pPr>
  </w:style>
  <w:style w:type="paragraph" w:styleId="TOC3">
    <w:name w:val="toc 3"/>
    <w:basedOn w:val="ad"/>
    <w:next w:val="ad"/>
    <w:uiPriority w:val="39"/>
    <w:semiHidden/>
    <w:unhideWhenUsed/>
    <w:qFormat/>
    <w:pPr>
      <w:ind w:leftChars="400" w:left="840"/>
    </w:pPr>
  </w:style>
  <w:style w:type="paragraph" w:styleId="af5">
    <w:name w:val="Date"/>
    <w:basedOn w:val="ad"/>
    <w:next w:val="ad"/>
    <w:link w:val="af6"/>
    <w:uiPriority w:val="99"/>
    <w:semiHidden/>
    <w:unhideWhenUsed/>
    <w:qFormat/>
    <w:pPr>
      <w:ind w:leftChars="2500" w:left="100"/>
    </w:pPr>
  </w:style>
  <w:style w:type="paragraph" w:styleId="21">
    <w:name w:val="Body Text Indent 2"/>
    <w:basedOn w:val="ad"/>
    <w:link w:val="22"/>
    <w:qFormat/>
    <w:pPr>
      <w:spacing w:line="276" w:lineRule="auto"/>
      <w:ind w:firstLineChars="200" w:firstLine="420"/>
    </w:pPr>
    <w:rPr>
      <w:rFonts w:ascii="宋体" w:eastAsia="宋体" w:hAnsi="宋体" w:cs="Times New Roman"/>
      <w:snapToGrid w:val="0"/>
      <w:kern w:val="0"/>
      <w:szCs w:val="24"/>
    </w:rPr>
  </w:style>
  <w:style w:type="paragraph" w:styleId="af7">
    <w:name w:val="Balloon Text"/>
    <w:basedOn w:val="ad"/>
    <w:link w:val="af8"/>
    <w:uiPriority w:val="99"/>
    <w:semiHidden/>
    <w:unhideWhenUsed/>
    <w:qFormat/>
    <w:rPr>
      <w:sz w:val="18"/>
      <w:szCs w:val="18"/>
    </w:rPr>
  </w:style>
  <w:style w:type="paragraph" w:styleId="af9">
    <w:name w:val="footer"/>
    <w:basedOn w:val="ad"/>
    <w:link w:val="afa"/>
    <w:uiPriority w:val="99"/>
    <w:unhideWhenUsed/>
    <w:qFormat/>
    <w:pPr>
      <w:tabs>
        <w:tab w:val="center" w:pos="4153"/>
        <w:tab w:val="right" w:pos="8306"/>
      </w:tabs>
      <w:snapToGrid w:val="0"/>
      <w:jc w:val="left"/>
    </w:pPr>
    <w:rPr>
      <w:sz w:val="18"/>
      <w:szCs w:val="18"/>
    </w:rPr>
  </w:style>
  <w:style w:type="paragraph" w:styleId="afb">
    <w:name w:val="header"/>
    <w:basedOn w:val="ad"/>
    <w:link w:val="af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d"/>
    <w:next w:val="ad"/>
    <w:uiPriority w:val="39"/>
    <w:unhideWhenUsed/>
    <w:qFormat/>
  </w:style>
  <w:style w:type="paragraph" w:styleId="afd">
    <w:name w:val="Subtitle"/>
    <w:basedOn w:val="ad"/>
    <w:next w:val="ad"/>
    <w:link w:val="afe"/>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TOC2">
    <w:name w:val="toc 2"/>
    <w:basedOn w:val="ad"/>
    <w:next w:val="ad"/>
    <w:uiPriority w:val="39"/>
    <w:unhideWhenUsed/>
    <w:qFormat/>
    <w:pPr>
      <w:tabs>
        <w:tab w:val="right" w:leader="dot" w:pos="9344"/>
      </w:tabs>
      <w:ind w:leftChars="200" w:left="420"/>
    </w:pPr>
  </w:style>
  <w:style w:type="paragraph" w:styleId="aff">
    <w:name w:val="Normal (Web)"/>
    <w:basedOn w:val="ad"/>
    <w:qFormat/>
    <w:pPr>
      <w:widowControl/>
      <w:spacing w:before="100" w:beforeAutospacing="1" w:after="100" w:afterAutospacing="1"/>
      <w:jc w:val="left"/>
    </w:pPr>
    <w:rPr>
      <w:rFonts w:ascii="宋体" w:eastAsia="宋体" w:hAnsi="宋体" w:cs="宋体"/>
      <w:kern w:val="0"/>
      <w:sz w:val="24"/>
      <w:szCs w:val="24"/>
    </w:rPr>
  </w:style>
  <w:style w:type="paragraph" w:styleId="aff0">
    <w:name w:val="Title"/>
    <w:basedOn w:val="ad"/>
    <w:next w:val="ad"/>
    <w:link w:val="aff1"/>
    <w:uiPriority w:val="10"/>
    <w:qFormat/>
    <w:pPr>
      <w:spacing w:before="240" w:after="60"/>
      <w:jc w:val="center"/>
      <w:outlineLvl w:val="0"/>
    </w:pPr>
    <w:rPr>
      <w:rFonts w:asciiTheme="majorHAnsi" w:eastAsia="宋体" w:hAnsiTheme="majorHAnsi" w:cstheme="majorBidi"/>
      <w:b/>
      <w:bCs/>
      <w:sz w:val="32"/>
      <w:szCs w:val="32"/>
    </w:rPr>
  </w:style>
  <w:style w:type="table" w:styleId="aff2">
    <w:name w:val="Table Grid"/>
    <w:basedOn w:val="af0"/>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f"/>
    <w:uiPriority w:val="99"/>
    <w:unhideWhenUsed/>
    <w:qFormat/>
    <w:rPr>
      <w:color w:val="0000FF" w:themeColor="hyperlink"/>
      <w:u w:val="single"/>
    </w:rPr>
  </w:style>
  <w:style w:type="character" w:styleId="aff4">
    <w:name w:val="annotation reference"/>
    <w:basedOn w:val="af"/>
    <w:uiPriority w:val="99"/>
    <w:semiHidden/>
    <w:unhideWhenUsed/>
    <w:qFormat/>
    <w:rPr>
      <w:sz w:val="21"/>
      <w:szCs w:val="21"/>
    </w:rPr>
  </w:style>
  <w:style w:type="character" w:customStyle="1" w:styleId="afc">
    <w:name w:val="页眉 字符"/>
    <w:basedOn w:val="af"/>
    <w:link w:val="afb"/>
    <w:uiPriority w:val="99"/>
    <w:qFormat/>
    <w:rPr>
      <w:sz w:val="18"/>
      <w:szCs w:val="18"/>
    </w:rPr>
  </w:style>
  <w:style w:type="character" w:customStyle="1" w:styleId="afa">
    <w:name w:val="页脚 字符"/>
    <w:basedOn w:val="af"/>
    <w:link w:val="af9"/>
    <w:uiPriority w:val="99"/>
    <w:qFormat/>
    <w:rPr>
      <w:sz w:val="18"/>
      <w:szCs w:val="18"/>
    </w:rPr>
  </w:style>
  <w:style w:type="character" w:customStyle="1" w:styleId="af8">
    <w:name w:val="批注框文本 字符"/>
    <w:basedOn w:val="af"/>
    <w:link w:val="af7"/>
    <w:uiPriority w:val="99"/>
    <w:semiHidden/>
    <w:qFormat/>
    <w:rPr>
      <w:sz w:val="18"/>
      <w:szCs w:val="18"/>
    </w:rPr>
  </w:style>
  <w:style w:type="paragraph" w:styleId="aff5">
    <w:name w:val="List Paragraph"/>
    <w:basedOn w:val="ad"/>
    <w:uiPriority w:val="34"/>
    <w:qFormat/>
    <w:pPr>
      <w:ind w:firstLineChars="200" w:firstLine="420"/>
    </w:pPr>
  </w:style>
  <w:style w:type="paragraph" w:customStyle="1" w:styleId="aff6">
    <w:name w:val="标准标志"/>
    <w:next w:val="ad"/>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CharCharCharChar">
    <w:name w:val="Char Char Char Char"/>
    <w:basedOn w:val="ad"/>
    <w:qFormat/>
    <w:pPr>
      <w:widowControl/>
      <w:spacing w:after="160" w:line="240" w:lineRule="exact"/>
      <w:jc w:val="left"/>
    </w:pPr>
    <w:rPr>
      <w:rFonts w:ascii="Arial" w:eastAsia="Times New Roman" w:hAnsi="Arial" w:cs="Verdana"/>
      <w:b/>
      <w:kern w:val="0"/>
      <w:sz w:val="24"/>
      <w:szCs w:val="20"/>
      <w:lang w:eastAsia="en-US"/>
    </w:rPr>
  </w:style>
  <w:style w:type="character" w:customStyle="1" w:styleId="10">
    <w:name w:val="标题 1 字符"/>
    <w:basedOn w:val="af"/>
    <w:link w:val="1"/>
    <w:uiPriority w:val="99"/>
    <w:qFormat/>
    <w:rPr>
      <w:rFonts w:ascii="Calibri" w:eastAsia="宋体" w:hAnsi="Calibri" w:cs="Times New Roman"/>
      <w:b/>
      <w:bCs/>
      <w:kern w:val="44"/>
      <w:sz w:val="44"/>
      <w:szCs w:val="44"/>
    </w:rPr>
  </w:style>
  <w:style w:type="paragraph" w:styleId="aff7">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11">
    <w:name w:val="封面标准号1"/>
    <w:qFormat/>
    <w:pPr>
      <w:widowControl w:val="0"/>
      <w:kinsoku w:val="0"/>
      <w:overflowPunct w:val="0"/>
      <w:autoSpaceDE w:val="0"/>
      <w:autoSpaceDN w:val="0"/>
      <w:spacing w:before="308"/>
      <w:jc w:val="right"/>
    </w:pPr>
    <w:rPr>
      <w:sz w:val="28"/>
    </w:rPr>
  </w:style>
  <w:style w:type="character" w:customStyle="1" w:styleId="12">
    <w:name w:val="不明显强调1"/>
    <w:basedOn w:val="af"/>
    <w:uiPriority w:val="19"/>
    <w:qFormat/>
    <w:rPr>
      <w:i/>
      <w:iCs/>
      <w:color w:val="7F7F7F" w:themeColor="text1" w:themeTint="80"/>
    </w:rPr>
  </w:style>
  <w:style w:type="character" w:customStyle="1" w:styleId="afe">
    <w:name w:val="副标题 字符"/>
    <w:basedOn w:val="af"/>
    <w:link w:val="afd"/>
    <w:uiPriority w:val="11"/>
    <w:qFormat/>
    <w:rPr>
      <w:rFonts w:asciiTheme="majorHAnsi" w:eastAsia="宋体" w:hAnsiTheme="majorHAnsi" w:cstheme="majorBidi"/>
      <w:b/>
      <w:bCs/>
      <w:kern w:val="28"/>
      <w:sz w:val="32"/>
      <w:szCs w:val="32"/>
    </w:rPr>
  </w:style>
  <w:style w:type="character" w:customStyle="1" w:styleId="aff1">
    <w:name w:val="标题 字符"/>
    <w:basedOn w:val="af"/>
    <w:link w:val="aff0"/>
    <w:uiPriority w:val="10"/>
    <w:qFormat/>
    <w:rPr>
      <w:rFonts w:asciiTheme="majorHAnsi" w:eastAsia="宋体" w:hAnsiTheme="majorHAnsi" w:cstheme="majorBidi"/>
      <w:b/>
      <w:bCs/>
      <w:sz w:val="32"/>
      <w:szCs w:val="32"/>
    </w:rPr>
  </w:style>
  <w:style w:type="character" w:customStyle="1" w:styleId="20">
    <w:name w:val="标题 2 字符"/>
    <w:basedOn w:val="af"/>
    <w:link w:val="2"/>
    <w:uiPriority w:val="9"/>
    <w:qFormat/>
    <w:rPr>
      <w:rFonts w:asciiTheme="majorHAnsi" w:eastAsiaTheme="majorEastAsia" w:hAnsiTheme="majorHAnsi" w:cstheme="majorBidi"/>
      <w:b/>
      <w:bCs/>
      <w:sz w:val="32"/>
      <w:szCs w:val="32"/>
    </w:rPr>
  </w:style>
  <w:style w:type="character" w:customStyle="1" w:styleId="30">
    <w:name w:val="标题 3 字符"/>
    <w:basedOn w:val="af"/>
    <w:link w:val="3"/>
    <w:uiPriority w:val="9"/>
    <w:semiHidden/>
    <w:qFormat/>
    <w:rPr>
      <w:b/>
      <w:bCs/>
      <w:sz w:val="32"/>
      <w:szCs w:val="32"/>
    </w:rPr>
  </w:style>
  <w:style w:type="character" w:customStyle="1" w:styleId="22">
    <w:name w:val="正文文本缩进 2 字符"/>
    <w:basedOn w:val="af"/>
    <w:link w:val="21"/>
    <w:qFormat/>
    <w:rPr>
      <w:rFonts w:ascii="宋体" w:eastAsia="宋体" w:hAnsi="宋体" w:cs="Times New Roman"/>
      <w:snapToGrid w:val="0"/>
      <w:kern w:val="0"/>
      <w:szCs w:val="24"/>
    </w:rPr>
  </w:style>
  <w:style w:type="paragraph" w:customStyle="1" w:styleId="aff8">
    <w:name w:val="三级条标题"/>
    <w:basedOn w:val="ad"/>
    <w:next w:val="ad"/>
    <w:qFormat/>
    <w:pPr>
      <w:widowControl/>
      <w:ind w:left="855"/>
      <w:outlineLvl w:val="4"/>
    </w:pPr>
    <w:rPr>
      <w:rFonts w:ascii="黑体" w:eastAsia="黑体" w:hAnsi="Times New Roman" w:cs="Times New Roman"/>
      <w:kern w:val="0"/>
      <w:szCs w:val="20"/>
    </w:rPr>
  </w:style>
  <w:style w:type="paragraph" w:customStyle="1" w:styleId="aff9">
    <w:name w:val="附录章标题"/>
    <w:next w:val="ad"/>
    <w:qFormat/>
    <w:pPr>
      <w:wordWrap w:val="0"/>
      <w:overflowPunct w:val="0"/>
      <w:autoSpaceDE w:val="0"/>
      <w:spacing w:beforeLines="50" w:afterLines="50"/>
      <w:ind w:left="4047"/>
      <w:jc w:val="both"/>
      <w:textAlignment w:val="baseline"/>
      <w:outlineLvl w:val="1"/>
    </w:pPr>
    <w:rPr>
      <w:rFonts w:ascii="黑体" w:eastAsia="黑体"/>
      <w:kern w:val="21"/>
      <w:sz w:val="21"/>
    </w:rPr>
  </w:style>
  <w:style w:type="paragraph" w:customStyle="1" w:styleId="affa">
    <w:name w:val="附录表标题"/>
    <w:next w:val="ad"/>
    <w:qFormat/>
    <w:pPr>
      <w:jc w:val="center"/>
      <w:textAlignment w:val="baseline"/>
    </w:pPr>
    <w:rPr>
      <w:rFonts w:ascii="黑体" w:eastAsia="黑体"/>
      <w:kern w:val="21"/>
      <w:sz w:val="21"/>
    </w:rPr>
  </w:style>
  <w:style w:type="paragraph" w:customStyle="1" w:styleId="affb">
    <w:name w:val="封面标准文稿编辑信息"/>
    <w:qFormat/>
    <w:pPr>
      <w:spacing w:before="180" w:line="180" w:lineRule="exact"/>
      <w:jc w:val="center"/>
    </w:pPr>
    <w:rPr>
      <w:rFonts w:ascii="宋体"/>
      <w:sz w:val="21"/>
    </w:rPr>
  </w:style>
  <w:style w:type="character" w:customStyle="1" w:styleId="high-light-bg4">
    <w:name w:val="high-light-bg4"/>
    <w:basedOn w:val="af"/>
    <w:qFormat/>
  </w:style>
  <w:style w:type="character" w:customStyle="1" w:styleId="ordinary-span-edit2">
    <w:name w:val="ordinary-span-edit2"/>
    <w:basedOn w:val="af"/>
    <w:qFormat/>
  </w:style>
  <w:style w:type="character" w:customStyle="1" w:styleId="af6">
    <w:name w:val="日期 字符"/>
    <w:basedOn w:val="af"/>
    <w:link w:val="af5"/>
    <w:uiPriority w:val="99"/>
    <w:semiHidden/>
    <w:qFormat/>
  </w:style>
  <w:style w:type="paragraph" w:customStyle="1" w:styleId="13">
    <w:name w:val="正文1"/>
    <w:qFormat/>
    <w:pPr>
      <w:jc w:val="both"/>
    </w:pPr>
    <w:rPr>
      <w:rFonts w:ascii="Calibri" w:hAnsi="Calibri" w:cs="宋体"/>
      <w:kern w:val="2"/>
      <w:sz w:val="21"/>
      <w:szCs w:val="21"/>
    </w:rPr>
  </w:style>
  <w:style w:type="character" w:customStyle="1" w:styleId="dash6b636587char1">
    <w:name w:val="dash6b63_6587__char1"/>
    <w:qFormat/>
    <w:rPr>
      <w:rFonts w:ascii="Times New Roman" w:hAnsi="Times New Roman" w:cs="Times New Roman" w:hint="default"/>
      <w:sz w:val="20"/>
      <w:szCs w:val="20"/>
      <w:u w:val="none"/>
    </w:rPr>
  </w:style>
  <w:style w:type="paragraph" w:customStyle="1" w:styleId="a">
    <w:name w:val="标准文件_前言、引言标题"/>
    <w:next w:val="ad"/>
    <w:qFormat/>
    <w:pPr>
      <w:numPr>
        <w:numId w:val="1"/>
      </w:numPr>
      <w:shd w:val="clear" w:color="FFFFFF" w:fill="FFFFFF"/>
      <w:spacing w:before="480" w:afterLines="150" w:after="150"/>
      <w:jc w:val="center"/>
      <w:outlineLvl w:val="0"/>
    </w:pPr>
    <w:rPr>
      <w:rFonts w:ascii="黑体" w:eastAsia="黑体"/>
      <w:sz w:val="32"/>
    </w:rPr>
  </w:style>
  <w:style w:type="paragraph" w:customStyle="1" w:styleId="a1">
    <w:name w:val="章标题"/>
    <w:next w:val="affc"/>
    <w:qFormat/>
    <w:pPr>
      <w:numPr>
        <w:numId w:val="2"/>
      </w:numPr>
      <w:spacing w:beforeLines="100" w:before="312" w:afterLines="100" w:after="312"/>
      <w:jc w:val="both"/>
      <w:outlineLvl w:val="1"/>
    </w:pPr>
    <w:rPr>
      <w:rFonts w:ascii="黑体" w:eastAsia="黑体"/>
      <w:sz w:val="21"/>
    </w:rPr>
  </w:style>
  <w:style w:type="paragraph" w:customStyle="1" w:styleId="affc">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2">
    <w:name w:val="一级条标题"/>
    <w:next w:val="affc"/>
    <w:qFormat/>
    <w:pPr>
      <w:numPr>
        <w:ilvl w:val="1"/>
        <w:numId w:val="2"/>
      </w:numPr>
      <w:spacing w:beforeLines="50" w:before="156" w:afterLines="50" w:after="156"/>
      <w:outlineLvl w:val="2"/>
    </w:pPr>
    <w:rPr>
      <w:rFonts w:ascii="黑体" w:eastAsia="黑体"/>
      <w:sz w:val="21"/>
      <w:szCs w:val="21"/>
    </w:rPr>
  </w:style>
  <w:style w:type="paragraph" w:customStyle="1" w:styleId="affd">
    <w:name w:val="二级无"/>
    <w:basedOn w:val="a3"/>
    <w:qFormat/>
    <w:pPr>
      <w:spacing w:beforeLines="0" w:before="0" w:afterLines="0" w:after="0"/>
    </w:pPr>
    <w:rPr>
      <w:rFonts w:ascii="宋体" w:eastAsia="宋体"/>
    </w:rPr>
  </w:style>
  <w:style w:type="paragraph" w:customStyle="1" w:styleId="a3">
    <w:name w:val="二级条标题"/>
    <w:basedOn w:val="a2"/>
    <w:next w:val="affc"/>
    <w:qFormat/>
    <w:pPr>
      <w:numPr>
        <w:ilvl w:val="2"/>
      </w:numPr>
      <w:spacing w:before="50" w:after="50"/>
      <w:outlineLvl w:val="3"/>
    </w:pPr>
  </w:style>
  <w:style w:type="paragraph" w:customStyle="1" w:styleId="a0">
    <w:name w:val="字母编号列项（一级）"/>
    <w:qFormat/>
    <w:pPr>
      <w:numPr>
        <w:numId w:val="3"/>
      </w:numPr>
      <w:jc w:val="both"/>
    </w:pPr>
    <w:rPr>
      <w:rFonts w:ascii="宋体"/>
      <w:sz w:val="21"/>
    </w:rPr>
  </w:style>
  <w:style w:type="paragraph" w:customStyle="1" w:styleId="a4">
    <w:name w:val="列项●（二级）"/>
    <w:qFormat/>
    <w:pPr>
      <w:numPr>
        <w:ilvl w:val="1"/>
        <w:numId w:val="4"/>
      </w:numPr>
      <w:tabs>
        <w:tab w:val="left" w:pos="840"/>
      </w:tabs>
      <w:jc w:val="both"/>
    </w:pPr>
    <w:rPr>
      <w:rFonts w:ascii="宋体"/>
      <w:sz w:val="21"/>
    </w:rPr>
  </w:style>
  <w:style w:type="paragraph" w:customStyle="1" w:styleId="affe">
    <w:name w:val="注：（正文）"/>
    <w:basedOn w:val="ac"/>
    <w:next w:val="affc"/>
    <w:qFormat/>
  </w:style>
  <w:style w:type="paragraph" w:customStyle="1" w:styleId="ac">
    <w:name w:val="注："/>
    <w:next w:val="affc"/>
    <w:qFormat/>
    <w:pPr>
      <w:widowControl w:val="0"/>
      <w:numPr>
        <w:numId w:val="5"/>
      </w:numPr>
      <w:autoSpaceDE w:val="0"/>
      <w:autoSpaceDN w:val="0"/>
      <w:jc w:val="both"/>
    </w:pPr>
    <w:rPr>
      <w:rFonts w:ascii="宋体"/>
      <w:sz w:val="18"/>
      <w:szCs w:val="18"/>
    </w:rPr>
  </w:style>
  <w:style w:type="paragraph" w:customStyle="1" w:styleId="a7">
    <w:name w:val="附录标识"/>
    <w:basedOn w:val="ad"/>
    <w:next w:val="affc"/>
    <w:qFormat/>
    <w:pPr>
      <w:keepNext/>
      <w:widowControl/>
      <w:numPr>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6">
    <w:name w:val="正文表标题"/>
    <w:next w:val="affc"/>
    <w:qFormat/>
    <w:pPr>
      <w:numPr>
        <w:numId w:val="7"/>
      </w:numPr>
      <w:tabs>
        <w:tab w:val="left" w:pos="360"/>
      </w:tabs>
      <w:spacing w:beforeLines="50" w:before="156" w:afterLines="50" w:after="156"/>
      <w:jc w:val="center"/>
    </w:pPr>
    <w:rPr>
      <w:rFonts w:ascii="黑体" w:eastAsia="黑体"/>
      <w:sz w:val="21"/>
    </w:rPr>
  </w:style>
  <w:style w:type="paragraph" w:customStyle="1" w:styleId="Other1">
    <w:name w:val="Other|1"/>
    <w:basedOn w:val="ad"/>
    <w:qFormat/>
    <w:rPr>
      <w:rFonts w:ascii="宋体" w:hAnsi="宋体" w:cs="宋体"/>
      <w:sz w:val="19"/>
      <w:szCs w:val="19"/>
      <w:lang w:val="zh-CN" w:bidi="zh-CN"/>
    </w:rPr>
  </w:style>
  <w:style w:type="paragraph" w:customStyle="1" w:styleId="afff">
    <w:name w:val="终结线"/>
    <w:basedOn w:val="ad"/>
    <w:qFormat/>
    <w:pPr>
      <w:framePr w:hSpace="181" w:vSpace="181" w:wrap="around" w:vAnchor="text" w:hAnchor="margin" w:xAlign="center" w:y="285"/>
    </w:pPr>
  </w:style>
  <w:style w:type="paragraph" w:customStyle="1" w:styleId="afff0">
    <w:name w:val="标准文件_术语条一"/>
    <w:basedOn w:val="afff1"/>
    <w:next w:val="afff2"/>
    <w:qFormat/>
  </w:style>
  <w:style w:type="paragraph" w:customStyle="1" w:styleId="afff1">
    <w:name w:val="标准文件_一级无标题"/>
    <w:basedOn w:val="aa"/>
    <w:qFormat/>
    <w:pPr>
      <w:spacing w:beforeLines="0" w:before="0" w:afterLines="0" w:after="0"/>
      <w:outlineLvl w:val="9"/>
    </w:pPr>
    <w:rPr>
      <w:rFonts w:ascii="宋体" w:eastAsia="宋体"/>
    </w:rPr>
  </w:style>
  <w:style w:type="paragraph" w:customStyle="1" w:styleId="aa">
    <w:name w:val="标准文件_一级条标题"/>
    <w:basedOn w:val="a9"/>
    <w:next w:val="afff2"/>
    <w:qFormat/>
    <w:pPr>
      <w:numPr>
        <w:ilvl w:val="2"/>
      </w:numPr>
      <w:spacing w:beforeLines="50" w:before="50" w:afterLines="50" w:after="50"/>
      <w:outlineLvl w:val="1"/>
    </w:pPr>
  </w:style>
  <w:style w:type="paragraph" w:customStyle="1" w:styleId="a9">
    <w:name w:val="标准文件_章标题"/>
    <w:next w:val="afff2"/>
    <w:qFormat/>
    <w:pPr>
      <w:numPr>
        <w:ilvl w:val="1"/>
        <w:numId w:val="8"/>
      </w:numPr>
      <w:spacing w:beforeLines="100" w:before="100" w:afterLines="100" w:after="100"/>
      <w:jc w:val="both"/>
      <w:outlineLvl w:val="0"/>
    </w:pPr>
    <w:rPr>
      <w:rFonts w:ascii="黑体" w:eastAsia="黑体"/>
      <w:sz w:val="21"/>
    </w:rPr>
  </w:style>
  <w:style w:type="paragraph" w:customStyle="1" w:styleId="afff2">
    <w:name w:val="标准文件_段"/>
    <w:qFormat/>
    <w:pPr>
      <w:autoSpaceDE w:val="0"/>
      <w:autoSpaceDN w:val="0"/>
      <w:ind w:firstLineChars="200" w:firstLine="200"/>
      <w:jc w:val="both"/>
    </w:pPr>
    <w:rPr>
      <w:rFonts w:ascii="宋体"/>
      <w:sz w:val="21"/>
    </w:rPr>
  </w:style>
  <w:style w:type="paragraph" w:customStyle="1" w:styleId="afff3">
    <w:name w:val="标准文件_二级无标题"/>
    <w:basedOn w:val="ab"/>
    <w:qFormat/>
    <w:pPr>
      <w:spacing w:beforeLines="0" w:before="0" w:afterLines="0" w:after="0"/>
      <w:outlineLvl w:val="9"/>
    </w:pPr>
    <w:rPr>
      <w:rFonts w:ascii="宋体" w:eastAsia="宋体"/>
    </w:rPr>
  </w:style>
  <w:style w:type="paragraph" w:customStyle="1" w:styleId="ab">
    <w:name w:val="标准文件_二级条标题"/>
    <w:next w:val="afff2"/>
    <w:qFormat/>
    <w:pPr>
      <w:widowControl w:val="0"/>
      <w:numPr>
        <w:ilvl w:val="3"/>
        <w:numId w:val="8"/>
      </w:numPr>
      <w:spacing w:beforeLines="50" w:before="50" w:afterLines="50" w:after="50"/>
      <w:jc w:val="both"/>
      <w:outlineLvl w:val="2"/>
    </w:pPr>
    <w:rPr>
      <w:rFonts w:ascii="黑体" w:eastAsia="黑体"/>
      <w:sz w:val="21"/>
    </w:rPr>
  </w:style>
  <w:style w:type="paragraph" w:customStyle="1" w:styleId="afff4">
    <w:name w:val="标准文件_页脚奇数页"/>
    <w:qFormat/>
    <w:pPr>
      <w:ind w:right="227"/>
      <w:jc w:val="right"/>
    </w:pPr>
    <w:rPr>
      <w:rFonts w:ascii="宋体"/>
      <w:sz w:val="18"/>
    </w:rPr>
  </w:style>
  <w:style w:type="paragraph" w:customStyle="1" w:styleId="afff5">
    <w:name w:val="标准文件_页脚偶数页"/>
    <w:qFormat/>
    <w:pPr>
      <w:ind w:left="198"/>
    </w:pPr>
    <w:rPr>
      <w:rFonts w:ascii="宋体"/>
      <w:sz w:val="18"/>
    </w:rPr>
  </w:style>
  <w:style w:type="paragraph" w:customStyle="1" w:styleId="afff6">
    <w:name w:val="说明文字"/>
    <w:basedOn w:val="ad"/>
    <w:qFormat/>
  </w:style>
  <w:style w:type="paragraph" w:customStyle="1" w:styleId="a8">
    <w:name w:val="标准文件_附录一级条标题"/>
    <w:next w:val="afff2"/>
    <w:qFormat/>
    <w:pPr>
      <w:widowControl w:val="0"/>
      <w:numPr>
        <w:ilvl w:val="1"/>
        <w:numId w:val="6"/>
      </w:numPr>
      <w:spacing w:beforeLines="50" w:before="50" w:afterLines="50" w:after="50"/>
      <w:jc w:val="both"/>
      <w:outlineLvl w:val="2"/>
    </w:pPr>
    <w:rPr>
      <w:rFonts w:ascii="黑体" w:eastAsia="黑体"/>
      <w:kern w:val="21"/>
      <w:sz w:val="21"/>
    </w:rPr>
  </w:style>
  <w:style w:type="paragraph" w:customStyle="1" w:styleId="a5">
    <w:name w:val="标准文件_附录图标题"/>
    <w:next w:val="afff2"/>
    <w:qFormat/>
    <w:pPr>
      <w:numPr>
        <w:ilvl w:val="1"/>
        <w:numId w:val="9"/>
      </w:numPr>
      <w:adjustRightInd w:val="0"/>
      <w:snapToGrid w:val="0"/>
      <w:spacing w:beforeLines="50" w:before="50" w:afterLines="50" w:after="50"/>
      <w:jc w:val="center"/>
    </w:pPr>
    <w:rPr>
      <w:rFonts w:ascii="黑体" w:eastAsia="黑体"/>
      <w:sz w:val="21"/>
    </w:rPr>
  </w:style>
  <w:style w:type="paragraph" w:customStyle="1" w:styleId="afff7">
    <w:name w:val="标准文件_参考文献标题"/>
    <w:basedOn w:val="ad"/>
    <w:next w:val="ad"/>
    <w:qFormat/>
    <w:pPr>
      <w:widowControl/>
      <w:shd w:val="clear" w:color="FFFFFF" w:fill="FFFFFF"/>
      <w:spacing w:before="580" w:afterLines="50" w:after="50"/>
      <w:jc w:val="center"/>
      <w:outlineLvl w:val="0"/>
    </w:pPr>
    <w:rPr>
      <w:rFonts w:ascii="黑体" w:eastAsia="黑体"/>
      <w:kern w:val="0"/>
    </w:rPr>
  </w:style>
  <w:style w:type="paragraph" w:customStyle="1" w:styleId="afff8">
    <w:name w:val="前言、引言标题"/>
    <w:next w:val="affc"/>
    <w:qFormat/>
    <w:pPr>
      <w:keepNext/>
      <w:pageBreakBefore/>
      <w:shd w:val="clear" w:color="FFFFFF" w:fill="FFFFFF"/>
      <w:spacing w:before="640" w:after="560"/>
      <w:jc w:val="center"/>
      <w:outlineLvl w:val="0"/>
    </w:pPr>
    <w:rPr>
      <w:rFonts w:ascii="黑体" w:eastAsia="黑体"/>
      <w:sz w:val="32"/>
    </w:rPr>
  </w:style>
  <w:style w:type="paragraph" w:customStyle="1" w:styleId="p">
    <w:name w:val="p"/>
    <w:basedOn w:val="ad"/>
    <w:qFormat/>
    <w:pPr>
      <w:spacing w:line="390" w:lineRule="atLeast"/>
      <w:ind w:firstLineChars="200" w:firstLine="420"/>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footer" Target="footer12.xml"/><Relationship Id="rId36" Type="http://schemas.openxmlformats.org/officeDocument/2006/relationships/footer" Target="footer16.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1.xml"/><Relationship Id="rId30" Type="http://schemas.openxmlformats.org/officeDocument/2006/relationships/header" Target="header11.xml"/><Relationship Id="rId35" Type="http://schemas.openxmlformats.org/officeDocument/2006/relationships/footer" Target="footer1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1620</Words>
  <Characters>9234</Characters>
  <Application>Microsoft Office Word</Application>
  <DocSecurity>0</DocSecurity>
  <Lines>76</Lines>
  <Paragraphs>21</Paragraphs>
  <ScaleCrop>false</ScaleCrop>
  <Company>Lenovo</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dc:creator>
  <cp:lastModifiedBy>LJW</cp:lastModifiedBy>
  <cp:revision>6</cp:revision>
  <cp:lastPrinted>2022-09-06T01:26:00Z</cp:lastPrinted>
  <dcterms:created xsi:type="dcterms:W3CDTF">2022-12-21T07:00:00Z</dcterms:created>
  <dcterms:modified xsi:type="dcterms:W3CDTF">2024-11-21T13:03:00Z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1D6B560B5F4D434581A326C240073559_13</vt:lpwstr>
  </property>
</Properties>
</file>